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F01B36" w14:textId="2D37AAC0" w:rsidR="00245D86" w:rsidRPr="00FD361E" w:rsidRDefault="00FD361E" w:rsidP="00FD361E">
      <w:pPr>
        <w:spacing w:after="0" w:line="240" w:lineRule="auto"/>
        <w:jc w:val="both"/>
        <w:rPr>
          <w:rFonts w:ascii="Times New Roman" w:hAnsi="Times New Roman" w:cs="Times New Roman"/>
          <w:b/>
          <w:bCs/>
          <w:sz w:val="28"/>
          <w:szCs w:val="28"/>
        </w:rPr>
      </w:pPr>
      <w:r w:rsidRPr="00FD361E">
        <w:rPr>
          <w:rFonts w:ascii="Times New Roman" w:hAnsi="Times New Roman" w:cs="Times New Roman"/>
          <w:b/>
          <w:bCs/>
          <w:noProof/>
          <w:sz w:val="28"/>
          <w:szCs w:val="28"/>
        </w:rPr>
        <w:drawing>
          <wp:anchor distT="0" distB="0" distL="114300" distR="114300" simplePos="0" relativeHeight="251659264" behindDoc="0" locked="0" layoutInCell="1" allowOverlap="1" wp14:anchorId="4B9E451E" wp14:editId="6A9E1696">
            <wp:simplePos x="0" y="0"/>
            <wp:positionH relativeFrom="margin">
              <wp:align>center</wp:align>
            </wp:positionH>
            <wp:positionV relativeFrom="paragraph">
              <wp:posOffset>-406111</wp:posOffset>
            </wp:positionV>
            <wp:extent cx="1440611" cy="1440611"/>
            <wp:effectExtent l="0" t="0" r="7620" b="762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7B7E65CC" w14:textId="77777777" w:rsidR="00FD361E" w:rsidRPr="00FD361E" w:rsidRDefault="00FD361E" w:rsidP="00FD361E">
      <w:pPr>
        <w:spacing w:after="0" w:line="240" w:lineRule="auto"/>
        <w:jc w:val="both"/>
        <w:rPr>
          <w:rFonts w:ascii="Times New Roman" w:hAnsi="Times New Roman" w:cs="Times New Roman"/>
          <w:b/>
          <w:bCs/>
          <w:sz w:val="28"/>
          <w:szCs w:val="28"/>
        </w:rPr>
      </w:pPr>
    </w:p>
    <w:p w14:paraId="14D44C64" w14:textId="77777777" w:rsidR="00FD361E" w:rsidRPr="00FD361E" w:rsidRDefault="00FD361E" w:rsidP="00FD361E">
      <w:pPr>
        <w:spacing w:after="0" w:line="240" w:lineRule="auto"/>
        <w:jc w:val="both"/>
        <w:rPr>
          <w:rFonts w:ascii="Times New Roman" w:hAnsi="Times New Roman" w:cs="Times New Roman"/>
          <w:b/>
          <w:bCs/>
          <w:sz w:val="28"/>
          <w:szCs w:val="28"/>
        </w:rPr>
      </w:pPr>
    </w:p>
    <w:p w14:paraId="5CAC3C3D" w14:textId="77777777" w:rsidR="00FD361E" w:rsidRPr="00FD361E" w:rsidRDefault="00FD361E" w:rsidP="00FD361E">
      <w:pPr>
        <w:spacing w:after="0" w:line="240" w:lineRule="auto"/>
        <w:jc w:val="both"/>
        <w:rPr>
          <w:rFonts w:ascii="Times New Roman" w:hAnsi="Times New Roman" w:cs="Times New Roman"/>
          <w:b/>
          <w:bCs/>
          <w:sz w:val="28"/>
          <w:szCs w:val="28"/>
        </w:rPr>
      </w:pPr>
    </w:p>
    <w:p w14:paraId="652B54D5" w14:textId="77777777" w:rsidR="00FD361E" w:rsidRPr="00FD361E" w:rsidRDefault="00FD361E" w:rsidP="00FD361E">
      <w:pPr>
        <w:spacing w:after="0" w:line="240" w:lineRule="auto"/>
        <w:jc w:val="both"/>
        <w:rPr>
          <w:rFonts w:ascii="Times New Roman" w:hAnsi="Times New Roman" w:cs="Times New Roman"/>
          <w:b/>
          <w:bCs/>
          <w:sz w:val="28"/>
          <w:szCs w:val="28"/>
        </w:rPr>
      </w:pPr>
    </w:p>
    <w:p w14:paraId="16A9C1FB" w14:textId="77777777" w:rsidR="00FD361E" w:rsidRDefault="00FD361E" w:rsidP="003617F3">
      <w:pPr>
        <w:spacing w:after="0" w:line="240" w:lineRule="auto"/>
        <w:rPr>
          <w:rFonts w:ascii="Times New Roman" w:hAnsi="Times New Roman" w:cs="Times New Roman"/>
          <w:b/>
          <w:bCs/>
          <w:sz w:val="28"/>
          <w:szCs w:val="28"/>
        </w:rPr>
      </w:pPr>
    </w:p>
    <w:p w14:paraId="7623F1E9" w14:textId="76D64F36" w:rsidR="002123D1" w:rsidRPr="00FD361E" w:rsidRDefault="001E119D" w:rsidP="00FD361E">
      <w:pPr>
        <w:spacing w:after="0" w:line="240" w:lineRule="auto"/>
        <w:jc w:val="center"/>
        <w:rPr>
          <w:rFonts w:ascii="Times New Roman" w:hAnsi="Times New Roman" w:cs="Times New Roman"/>
          <w:b/>
          <w:bCs/>
          <w:sz w:val="28"/>
          <w:szCs w:val="28"/>
        </w:rPr>
      </w:pPr>
      <w:r w:rsidRPr="00FD361E">
        <w:rPr>
          <w:rFonts w:ascii="Times New Roman" w:hAnsi="Times New Roman" w:cs="Times New Roman"/>
          <w:b/>
          <w:bCs/>
          <w:sz w:val="28"/>
          <w:szCs w:val="28"/>
        </w:rPr>
        <w:t>A</w:t>
      </w:r>
      <w:r w:rsidRPr="00FD361E">
        <w:rPr>
          <w:rFonts w:ascii="Times New Roman" w:hAnsi="Times New Roman" w:cs="Times New Roman"/>
          <w:b/>
          <w:bCs/>
          <w:sz w:val="28"/>
          <w:szCs w:val="28"/>
          <w:lang w:bidi="ar-EG"/>
        </w:rPr>
        <w:t>GRI</w:t>
      </w:r>
      <w:r w:rsidRPr="00FD361E">
        <w:rPr>
          <w:rFonts w:ascii="Times New Roman" w:hAnsi="Times New Roman" w:cs="Times New Roman"/>
          <w:b/>
          <w:bCs/>
          <w:sz w:val="28"/>
          <w:szCs w:val="28"/>
        </w:rPr>
        <w:t>-FOOD TRADE AND INVESTMENT</w:t>
      </w:r>
      <w:r w:rsidR="002123D1" w:rsidRPr="00FD361E">
        <w:rPr>
          <w:rFonts w:ascii="Times New Roman" w:hAnsi="Times New Roman" w:cs="Times New Roman"/>
          <w:b/>
          <w:bCs/>
          <w:sz w:val="28"/>
          <w:szCs w:val="28"/>
        </w:rPr>
        <w:t xml:space="preserve"> </w:t>
      </w:r>
      <w:r w:rsidRPr="00FD361E">
        <w:rPr>
          <w:rFonts w:ascii="Times New Roman" w:hAnsi="Times New Roman" w:cs="Times New Roman"/>
          <w:b/>
          <w:bCs/>
          <w:sz w:val="28"/>
          <w:szCs w:val="28"/>
        </w:rPr>
        <w:t>P</w:t>
      </w:r>
      <w:r w:rsidR="002123D1" w:rsidRPr="00FD361E">
        <w:rPr>
          <w:rFonts w:ascii="Times New Roman" w:hAnsi="Times New Roman" w:cs="Times New Roman"/>
          <w:b/>
          <w:bCs/>
          <w:sz w:val="28"/>
          <w:szCs w:val="28"/>
        </w:rPr>
        <w:t>ROMOTION.</w:t>
      </w:r>
    </w:p>
    <w:p w14:paraId="48383144" w14:textId="23F57FEF" w:rsidR="00DE3B6B" w:rsidRPr="00FD361E" w:rsidRDefault="00DE3B6B" w:rsidP="00FD361E">
      <w:pPr>
        <w:spacing w:after="0" w:line="240" w:lineRule="auto"/>
        <w:jc w:val="center"/>
        <w:rPr>
          <w:rFonts w:ascii="Times New Roman" w:hAnsi="Times New Roman" w:cs="Times New Roman"/>
          <w:b/>
          <w:bCs/>
          <w:sz w:val="28"/>
          <w:szCs w:val="28"/>
        </w:rPr>
      </w:pPr>
      <w:r w:rsidRPr="00FD361E">
        <w:rPr>
          <w:rFonts w:ascii="Times New Roman" w:hAnsi="Times New Roman" w:cs="Times New Roman"/>
          <w:b/>
          <w:bCs/>
          <w:sz w:val="28"/>
          <w:szCs w:val="28"/>
        </w:rPr>
        <w:t>NATIONAL FOOD SECTORS DEVELOPMENT IN COOPERATION WITH STATE INVESTMENT AGENCIES</w:t>
      </w:r>
    </w:p>
    <w:p w14:paraId="2A8387D9" w14:textId="2EC6C9E8" w:rsidR="001E119D" w:rsidRPr="00FD361E" w:rsidRDefault="001355E9" w:rsidP="00FD361E">
      <w:pPr>
        <w:spacing w:after="0" w:line="240" w:lineRule="auto"/>
        <w:jc w:val="center"/>
        <w:rPr>
          <w:rFonts w:ascii="Times New Roman" w:hAnsi="Times New Roman" w:cs="Times New Roman"/>
          <w:b/>
          <w:bCs/>
          <w:sz w:val="28"/>
          <w:szCs w:val="28"/>
        </w:rPr>
      </w:pPr>
      <w:r w:rsidRPr="00FD361E">
        <w:rPr>
          <w:rFonts w:ascii="Times New Roman" w:hAnsi="Times New Roman" w:cs="Times New Roman"/>
          <w:b/>
          <w:bCs/>
          <w:sz w:val="28"/>
          <w:szCs w:val="28"/>
        </w:rPr>
        <w:t>DRAFT CONCEPT NOTE</w:t>
      </w:r>
    </w:p>
    <w:p w14:paraId="26447F78" w14:textId="77777777" w:rsidR="001E119D" w:rsidRPr="00FD361E" w:rsidRDefault="001E119D" w:rsidP="00FD361E">
      <w:pPr>
        <w:spacing w:after="0" w:line="240" w:lineRule="auto"/>
        <w:jc w:val="both"/>
        <w:rPr>
          <w:rFonts w:ascii="Times New Roman" w:hAnsi="Times New Roman" w:cs="Times New Roman"/>
          <w:sz w:val="28"/>
          <w:szCs w:val="28"/>
        </w:rPr>
      </w:pPr>
    </w:p>
    <w:p w14:paraId="00000003" w14:textId="20BCD977" w:rsidR="00554D50" w:rsidRPr="004C7BD3" w:rsidRDefault="00C119B6" w:rsidP="004C7BD3">
      <w:pPr>
        <w:spacing w:after="0" w:line="240" w:lineRule="auto"/>
        <w:jc w:val="both"/>
        <w:rPr>
          <w:rFonts w:ascii="Times New Roman" w:hAnsi="Times New Roman" w:cs="Times New Roman"/>
          <w:b/>
          <w:bCs/>
          <w:sz w:val="28"/>
          <w:szCs w:val="28"/>
        </w:rPr>
      </w:pPr>
      <w:r w:rsidRPr="004C7BD3">
        <w:rPr>
          <w:rFonts w:ascii="Times New Roman" w:hAnsi="Times New Roman" w:cs="Times New Roman"/>
          <w:b/>
          <w:bCs/>
          <w:sz w:val="28"/>
          <w:szCs w:val="28"/>
        </w:rPr>
        <w:t>Introduction</w:t>
      </w:r>
    </w:p>
    <w:p w14:paraId="4847BE25" w14:textId="141DE688" w:rsidR="00F76F31" w:rsidRDefault="00F76F31" w:rsidP="00FD361E">
      <w:pPr>
        <w:spacing w:after="0" w:line="240" w:lineRule="auto"/>
        <w:jc w:val="both"/>
        <w:rPr>
          <w:rFonts w:ascii="Times New Roman" w:hAnsi="Times New Roman" w:cs="Times New Roman"/>
          <w:sz w:val="28"/>
          <w:szCs w:val="28"/>
        </w:rPr>
      </w:pPr>
      <w:r w:rsidRPr="00FD361E">
        <w:rPr>
          <w:rFonts w:ascii="Times New Roman" w:hAnsi="Times New Roman" w:cs="Times New Roman"/>
          <w:sz w:val="28"/>
          <w:szCs w:val="28"/>
        </w:rPr>
        <w:t>The state of the agro-industrial complex, the availability of a sufficient amount of food, food safety, the affordability of prices for agricultural products for the population are the main factors of food security. According to the UN forecast, by 2050 the world's population will grow to 9.7 billion people. To provide food for all this population, agriculture must become environmentally friendly and technically equipped.</w:t>
      </w:r>
    </w:p>
    <w:p w14:paraId="5A21B3AA" w14:textId="77777777" w:rsidR="00FD361E" w:rsidRPr="00FD361E" w:rsidRDefault="00FD361E" w:rsidP="00FD361E">
      <w:pPr>
        <w:spacing w:after="0" w:line="240" w:lineRule="auto"/>
        <w:jc w:val="both"/>
        <w:rPr>
          <w:rFonts w:ascii="Times New Roman" w:hAnsi="Times New Roman" w:cs="Times New Roman"/>
          <w:sz w:val="28"/>
          <w:szCs w:val="28"/>
        </w:rPr>
      </w:pPr>
    </w:p>
    <w:p w14:paraId="03567194" w14:textId="084FA9DD" w:rsidR="00F76F31" w:rsidRDefault="00FD361E"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F76F31" w:rsidRPr="00FD361E">
        <w:rPr>
          <w:rFonts w:ascii="Times New Roman" w:hAnsi="Times New Roman" w:cs="Times New Roman"/>
          <w:sz w:val="28"/>
          <w:szCs w:val="28"/>
        </w:rPr>
        <w:t xml:space="preserve">The key problems of the agro-industrial complex </w:t>
      </w:r>
      <w:r w:rsidR="000E5B9E" w:rsidRPr="00FD361E">
        <w:rPr>
          <w:rFonts w:ascii="Times New Roman" w:hAnsi="Times New Roman" w:cs="Times New Roman"/>
          <w:sz w:val="28"/>
          <w:szCs w:val="28"/>
        </w:rPr>
        <w:t xml:space="preserve">in OIC countries </w:t>
      </w:r>
      <w:r w:rsidR="00F76F31" w:rsidRPr="00FD361E">
        <w:rPr>
          <w:rFonts w:ascii="Times New Roman" w:hAnsi="Times New Roman" w:cs="Times New Roman"/>
          <w:sz w:val="28"/>
          <w:szCs w:val="28"/>
        </w:rPr>
        <w:t>can be considered low investment activity and attractiveness, technical equipment, the financial instability of agricultural producers, the impact of climatic conditions.</w:t>
      </w:r>
    </w:p>
    <w:p w14:paraId="73344345" w14:textId="77777777" w:rsidR="00FD361E" w:rsidRPr="00FD361E" w:rsidRDefault="00FD361E" w:rsidP="00FD361E">
      <w:pPr>
        <w:spacing w:after="0" w:line="240" w:lineRule="auto"/>
        <w:jc w:val="both"/>
        <w:rPr>
          <w:rFonts w:ascii="Times New Roman" w:hAnsi="Times New Roman" w:cs="Times New Roman"/>
          <w:sz w:val="28"/>
          <w:szCs w:val="28"/>
        </w:rPr>
      </w:pPr>
    </w:p>
    <w:p w14:paraId="35A50F41" w14:textId="531C393C" w:rsidR="00F76F31" w:rsidRDefault="00F76F31" w:rsidP="00FD361E">
      <w:pPr>
        <w:spacing w:after="0" w:line="240" w:lineRule="auto"/>
        <w:jc w:val="both"/>
        <w:rPr>
          <w:rFonts w:ascii="Times New Roman" w:hAnsi="Times New Roman" w:cs="Times New Roman"/>
          <w:sz w:val="28"/>
          <w:szCs w:val="28"/>
        </w:rPr>
      </w:pPr>
      <w:r w:rsidRPr="00FD361E">
        <w:rPr>
          <w:rFonts w:ascii="Times New Roman" w:hAnsi="Times New Roman" w:cs="Times New Roman"/>
          <w:sz w:val="28"/>
          <w:szCs w:val="28"/>
        </w:rPr>
        <w:t>Agriculture is part of the agro-industrial complex and includes many industries. Each industry has its own problems and complex measures are needed to address these problems. For example, crop production problems are unfavorable climatic conditions and weight loss from mold and rot during storage. The problems of animal husbandry include the lack and shortage of feed. In 2020, the poultry industry in many countries is faced with the global problem of bird flu. Based on this, we can conclude that the agro-industrial sector needs support, including by attracting investments. Solving the problems of the agro-industrial complex is the basis for ensuring food security.</w:t>
      </w:r>
    </w:p>
    <w:p w14:paraId="5675D11C" w14:textId="77777777" w:rsidR="00FD361E" w:rsidRPr="00FD361E" w:rsidRDefault="00FD361E" w:rsidP="00FD361E">
      <w:pPr>
        <w:spacing w:after="0" w:line="240" w:lineRule="auto"/>
        <w:jc w:val="both"/>
        <w:rPr>
          <w:rFonts w:ascii="Times New Roman" w:hAnsi="Times New Roman" w:cs="Times New Roman"/>
          <w:sz w:val="28"/>
          <w:szCs w:val="28"/>
        </w:rPr>
      </w:pPr>
    </w:p>
    <w:p w14:paraId="030AA3B5" w14:textId="3F391FCB" w:rsidR="00885E70"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9F78CF" w:rsidRPr="00FD361E">
        <w:rPr>
          <w:rFonts w:ascii="Times New Roman" w:hAnsi="Times New Roman" w:cs="Times New Roman"/>
          <w:sz w:val="28"/>
          <w:szCs w:val="28"/>
        </w:rPr>
        <w:t xml:space="preserve">. </w:t>
      </w:r>
      <w:r w:rsidR="00885E70" w:rsidRPr="00FD361E">
        <w:rPr>
          <w:rFonts w:ascii="Times New Roman" w:hAnsi="Times New Roman" w:cs="Times New Roman"/>
          <w:sz w:val="28"/>
          <w:szCs w:val="28"/>
        </w:rPr>
        <w:t xml:space="preserve">With the advent of the Islamic </w:t>
      </w:r>
      <w:proofErr w:type="spellStart"/>
      <w:r w:rsidR="00885E70" w:rsidRPr="00FD361E">
        <w:rPr>
          <w:rFonts w:ascii="Times New Roman" w:hAnsi="Times New Roman" w:cs="Times New Roman"/>
          <w:sz w:val="28"/>
          <w:szCs w:val="28"/>
        </w:rPr>
        <w:t>Organisation</w:t>
      </w:r>
      <w:proofErr w:type="spellEnd"/>
      <w:r w:rsidR="00885E70" w:rsidRPr="00FD361E">
        <w:rPr>
          <w:rFonts w:ascii="Times New Roman" w:hAnsi="Times New Roman" w:cs="Times New Roman"/>
          <w:sz w:val="28"/>
          <w:szCs w:val="28"/>
        </w:rPr>
        <w:t xml:space="preserve"> f</w:t>
      </w:r>
      <w:r w:rsidR="00607170" w:rsidRPr="00FD361E">
        <w:rPr>
          <w:rFonts w:ascii="Times New Roman" w:hAnsi="Times New Roman" w:cs="Times New Roman"/>
          <w:sz w:val="28"/>
          <w:szCs w:val="28"/>
        </w:rPr>
        <w:t>or Food Security (IOFS), which S</w:t>
      </w:r>
      <w:r w:rsidR="00885E70" w:rsidRPr="00FD361E">
        <w:rPr>
          <w:rFonts w:ascii="Times New Roman" w:hAnsi="Times New Roman" w:cs="Times New Roman"/>
          <w:sz w:val="28"/>
          <w:szCs w:val="28"/>
        </w:rPr>
        <w:t xml:space="preserve">tatute was adopted by OIC Council of Foreign Ministers (CFM) on 11 December 2013, the task of intra-OIC trade relations in the agri-food sector has now devolved upon this OIC </w:t>
      </w:r>
      <w:proofErr w:type="spellStart"/>
      <w:r w:rsidR="00885E70" w:rsidRPr="00FD361E">
        <w:rPr>
          <w:rFonts w:ascii="Times New Roman" w:hAnsi="Times New Roman" w:cs="Times New Roman"/>
          <w:sz w:val="28"/>
          <w:szCs w:val="28"/>
        </w:rPr>
        <w:t>specialised</w:t>
      </w:r>
      <w:proofErr w:type="spellEnd"/>
      <w:r w:rsidR="00885E70" w:rsidRPr="00FD361E">
        <w:rPr>
          <w:rFonts w:ascii="Times New Roman" w:hAnsi="Times New Roman" w:cs="Times New Roman"/>
          <w:sz w:val="28"/>
          <w:szCs w:val="28"/>
        </w:rPr>
        <w:t xml:space="preserve"> institution. Trade and investment always </w:t>
      </w:r>
      <w:proofErr w:type="gramStart"/>
      <w:r w:rsidR="00885E70" w:rsidRPr="00FD361E">
        <w:rPr>
          <w:rFonts w:ascii="Times New Roman" w:hAnsi="Times New Roman" w:cs="Times New Roman"/>
          <w:sz w:val="28"/>
          <w:szCs w:val="28"/>
        </w:rPr>
        <w:t>goes</w:t>
      </w:r>
      <w:proofErr w:type="gramEnd"/>
      <w:r w:rsidR="00885E70" w:rsidRPr="00FD361E">
        <w:rPr>
          <w:rFonts w:ascii="Times New Roman" w:hAnsi="Times New Roman" w:cs="Times New Roman"/>
          <w:sz w:val="28"/>
          <w:szCs w:val="28"/>
        </w:rPr>
        <w:t xml:space="preserve"> tandemly. Accordingly, all the multilateral instruments would now be applicable for the purposes of promoting trade and investment cooperation among its member states in the domain of agriculture, rural development and food security.</w:t>
      </w:r>
    </w:p>
    <w:p w14:paraId="4FA64A97" w14:textId="77777777" w:rsidR="00FD361E" w:rsidRPr="00FD361E" w:rsidRDefault="00FD361E" w:rsidP="00FD361E">
      <w:pPr>
        <w:spacing w:after="0" w:line="240" w:lineRule="auto"/>
        <w:jc w:val="both"/>
        <w:rPr>
          <w:rFonts w:ascii="Times New Roman" w:hAnsi="Times New Roman" w:cs="Times New Roman"/>
          <w:sz w:val="28"/>
          <w:szCs w:val="28"/>
        </w:rPr>
      </w:pPr>
    </w:p>
    <w:p w14:paraId="69581E39" w14:textId="55D2FFCD" w:rsidR="00885E70" w:rsidRPr="00FD361E" w:rsidRDefault="001D6CDA" w:rsidP="00FD361E">
      <w:p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4</w:t>
      </w:r>
      <w:r w:rsidR="00186464" w:rsidRPr="00FD361E">
        <w:rPr>
          <w:rFonts w:ascii="Times New Roman" w:hAnsi="Times New Roman" w:cs="Times New Roman"/>
          <w:sz w:val="28"/>
          <w:szCs w:val="28"/>
        </w:rPr>
        <w:t xml:space="preserve">. </w:t>
      </w:r>
      <w:r w:rsidR="00885E70" w:rsidRPr="00FD361E">
        <w:rPr>
          <w:rFonts w:ascii="Times New Roman" w:hAnsi="Times New Roman" w:cs="Times New Roman"/>
          <w:sz w:val="28"/>
          <w:szCs w:val="28"/>
        </w:rPr>
        <w:t>This Concept Note would guide the activities of IOFS on investment promotion within the realm of agri-food, using the basic tools already agreed upon by OIC, while also drawing from global best investment practices</w:t>
      </w:r>
      <w:r w:rsidR="00D910A9" w:rsidRPr="00FD361E">
        <w:rPr>
          <w:rFonts w:ascii="Times New Roman" w:hAnsi="Times New Roman" w:cs="Times New Roman"/>
          <w:sz w:val="28"/>
          <w:szCs w:val="28"/>
        </w:rPr>
        <w:t xml:space="preserve"> and facilitate joint work with state investment agencies</w:t>
      </w:r>
      <w:r w:rsidR="00885E70" w:rsidRPr="00FD361E">
        <w:rPr>
          <w:rFonts w:ascii="Times New Roman" w:hAnsi="Times New Roman" w:cs="Times New Roman"/>
          <w:sz w:val="28"/>
          <w:szCs w:val="28"/>
        </w:rPr>
        <w:t>.</w:t>
      </w:r>
    </w:p>
    <w:p w14:paraId="6840E116" w14:textId="77777777" w:rsidR="00554AA0" w:rsidRPr="00FD361E" w:rsidRDefault="00554AA0" w:rsidP="00FD361E">
      <w:pPr>
        <w:spacing w:after="0" w:line="240" w:lineRule="auto"/>
        <w:jc w:val="both"/>
        <w:rPr>
          <w:rFonts w:ascii="Times New Roman" w:hAnsi="Times New Roman" w:cs="Times New Roman"/>
          <w:b/>
          <w:bCs/>
          <w:sz w:val="28"/>
          <w:szCs w:val="28"/>
        </w:rPr>
      </w:pPr>
    </w:p>
    <w:p w14:paraId="38DE039D" w14:textId="1F1B703E" w:rsidR="00147A6C" w:rsidRPr="00FD361E" w:rsidRDefault="000816C5" w:rsidP="00FD361E">
      <w:pPr>
        <w:spacing w:after="0" w:line="240" w:lineRule="auto"/>
        <w:jc w:val="both"/>
        <w:rPr>
          <w:rFonts w:ascii="Times New Roman" w:hAnsi="Times New Roman" w:cs="Times New Roman"/>
          <w:b/>
          <w:bCs/>
          <w:sz w:val="28"/>
          <w:szCs w:val="28"/>
        </w:rPr>
      </w:pPr>
      <w:r w:rsidRPr="00FD361E">
        <w:rPr>
          <w:rFonts w:ascii="Times New Roman" w:hAnsi="Times New Roman" w:cs="Times New Roman"/>
          <w:b/>
          <w:bCs/>
          <w:sz w:val="28"/>
          <w:szCs w:val="28"/>
        </w:rPr>
        <w:lastRenderedPageBreak/>
        <w:t xml:space="preserve">Agriculture and Investment </w:t>
      </w:r>
    </w:p>
    <w:p w14:paraId="47374776" w14:textId="5F4BE447" w:rsidR="00C81A68"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4A5096" w:rsidRPr="00FD361E">
        <w:rPr>
          <w:rFonts w:ascii="Times New Roman" w:hAnsi="Times New Roman" w:cs="Times New Roman"/>
          <w:sz w:val="28"/>
          <w:szCs w:val="28"/>
        </w:rPr>
        <w:t xml:space="preserve">. </w:t>
      </w:r>
      <w:r w:rsidR="00C81A68" w:rsidRPr="00FD361E">
        <w:rPr>
          <w:rFonts w:ascii="Times New Roman" w:hAnsi="Times New Roman" w:cs="Times New Roman"/>
          <w:sz w:val="28"/>
          <w:szCs w:val="28"/>
        </w:rPr>
        <w:t>Investments in agriculture have their own characteristics, as they have a long payback period. However, at the same time they lead to ensuring sustainable economic growth of the state as a whole. In this connection, investment support for agriculture is necessary both to support agricultural producers and for food security</w:t>
      </w:r>
      <w:r w:rsidR="00AB395D" w:rsidRPr="00FD361E">
        <w:rPr>
          <w:rFonts w:ascii="Times New Roman" w:hAnsi="Times New Roman" w:cs="Times New Roman"/>
          <w:sz w:val="28"/>
          <w:szCs w:val="28"/>
        </w:rPr>
        <w:t xml:space="preserve"> in OIC countries</w:t>
      </w:r>
      <w:r w:rsidR="00C81A68" w:rsidRPr="00FD361E">
        <w:rPr>
          <w:rFonts w:ascii="Times New Roman" w:hAnsi="Times New Roman" w:cs="Times New Roman"/>
          <w:sz w:val="28"/>
          <w:szCs w:val="28"/>
        </w:rPr>
        <w:t>. Investing in agribusiness will improve food security by increasing their production, reducing losses and increasing income.</w:t>
      </w:r>
      <w:r w:rsidR="00AB395D" w:rsidRPr="00FD361E">
        <w:rPr>
          <w:rFonts w:ascii="Times New Roman" w:hAnsi="Times New Roman" w:cs="Times New Roman"/>
          <w:sz w:val="28"/>
          <w:szCs w:val="28"/>
        </w:rPr>
        <w:t xml:space="preserve"> </w:t>
      </w:r>
    </w:p>
    <w:p w14:paraId="67061A3B" w14:textId="77777777" w:rsidR="00FD361E" w:rsidRPr="00FD361E" w:rsidRDefault="00FD361E" w:rsidP="00FD361E">
      <w:pPr>
        <w:spacing w:after="0" w:line="240" w:lineRule="auto"/>
        <w:jc w:val="both"/>
        <w:rPr>
          <w:rFonts w:ascii="Times New Roman" w:hAnsi="Times New Roman" w:cs="Times New Roman"/>
          <w:sz w:val="28"/>
          <w:szCs w:val="28"/>
        </w:rPr>
      </w:pPr>
    </w:p>
    <w:p w14:paraId="6C0CA828" w14:textId="3579B0FE" w:rsidR="00AB395D"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AB395D" w:rsidRPr="00FD361E">
        <w:rPr>
          <w:rFonts w:ascii="Times New Roman" w:hAnsi="Times New Roman" w:cs="Times New Roman"/>
          <w:sz w:val="28"/>
          <w:szCs w:val="28"/>
        </w:rPr>
        <w:t>As we all know</w:t>
      </w:r>
      <w:r w:rsidR="00500C92" w:rsidRPr="00FD361E">
        <w:rPr>
          <w:rFonts w:ascii="Times New Roman" w:hAnsi="Times New Roman" w:cs="Times New Roman"/>
          <w:sz w:val="28"/>
          <w:szCs w:val="28"/>
        </w:rPr>
        <w:t>,</w:t>
      </w:r>
      <w:r w:rsidR="00AB395D" w:rsidRPr="00FD361E">
        <w:rPr>
          <w:rFonts w:ascii="Times New Roman" w:hAnsi="Times New Roman" w:cs="Times New Roman"/>
          <w:sz w:val="28"/>
          <w:szCs w:val="28"/>
        </w:rPr>
        <w:t xml:space="preserve"> the many OIC least-developed and low-income agricultural-based countries where, due to limited financial resources, both domestically and in terms of </w:t>
      </w:r>
      <w:r w:rsidR="001637AE" w:rsidRPr="00FD361E">
        <w:rPr>
          <w:rFonts w:ascii="Times New Roman" w:hAnsi="Times New Roman" w:cs="Times New Roman"/>
          <w:sz w:val="28"/>
          <w:szCs w:val="28"/>
        </w:rPr>
        <w:t>Foreign Direct Investment</w:t>
      </w:r>
      <w:r w:rsidR="001F0932" w:rsidRPr="00FD361E">
        <w:rPr>
          <w:rFonts w:ascii="Times New Roman" w:hAnsi="Times New Roman" w:cs="Times New Roman"/>
          <w:sz w:val="28"/>
          <w:szCs w:val="28"/>
        </w:rPr>
        <w:t xml:space="preserve"> (</w:t>
      </w:r>
      <w:r w:rsidR="00AB395D" w:rsidRPr="00FD361E">
        <w:rPr>
          <w:rFonts w:ascii="Times New Roman" w:hAnsi="Times New Roman" w:cs="Times New Roman"/>
          <w:sz w:val="28"/>
          <w:szCs w:val="28"/>
        </w:rPr>
        <w:t>FDI</w:t>
      </w:r>
      <w:r w:rsidR="001F0932" w:rsidRPr="00FD361E">
        <w:rPr>
          <w:rFonts w:ascii="Times New Roman" w:hAnsi="Times New Roman" w:cs="Times New Roman"/>
          <w:sz w:val="28"/>
          <w:szCs w:val="28"/>
        </w:rPr>
        <w:t>)</w:t>
      </w:r>
      <w:r w:rsidR="00AB395D" w:rsidRPr="00FD361E">
        <w:rPr>
          <w:rFonts w:ascii="Times New Roman" w:hAnsi="Times New Roman" w:cs="Times New Roman"/>
          <w:sz w:val="28"/>
          <w:szCs w:val="28"/>
        </w:rPr>
        <w:t xml:space="preserve">, the inherent agricultural potential of these countries does not manifest itself in the form of reasonable levels of agricultural development and food security, where most of them are still classified as </w:t>
      </w:r>
      <w:r w:rsidR="00A70E0E" w:rsidRPr="00FD361E">
        <w:rPr>
          <w:rFonts w:ascii="Times New Roman" w:hAnsi="Times New Roman" w:cs="Times New Roman"/>
          <w:sz w:val="28"/>
          <w:szCs w:val="28"/>
        </w:rPr>
        <w:t xml:space="preserve">least developed countries </w:t>
      </w:r>
      <w:r w:rsidR="00AB395D" w:rsidRPr="00FD361E">
        <w:rPr>
          <w:rFonts w:ascii="Times New Roman" w:hAnsi="Times New Roman" w:cs="Times New Roman"/>
          <w:sz w:val="28"/>
          <w:szCs w:val="28"/>
        </w:rPr>
        <w:t xml:space="preserve">with high levels of undernourished people. Therefore, intra-OIC investment in agricultural projects should be encouraged, particularly in the agricultural-based member countries to increase agricultural productivity and/or extension of arable land through the supply of improved seeds, fertilizers, agricultural machinery and modern irrigation systems as well as through the development of agriculture-related infrastructures and processing of agricultural raw commodities, particularly food products with the aim of establishing </w:t>
      </w:r>
      <w:proofErr w:type="spellStart"/>
      <w:r w:rsidR="00AB395D" w:rsidRPr="00FD361E">
        <w:rPr>
          <w:rFonts w:ascii="Times New Roman" w:hAnsi="Times New Roman" w:cs="Times New Roman"/>
          <w:sz w:val="28"/>
          <w:szCs w:val="28"/>
        </w:rPr>
        <w:t>agro</w:t>
      </w:r>
      <w:proofErr w:type="spellEnd"/>
      <w:r w:rsidR="00AB395D" w:rsidRPr="00FD361E">
        <w:rPr>
          <w:rFonts w:ascii="Times New Roman" w:hAnsi="Times New Roman" w:cs="Times New Roman"/>
          <w:sz w:val="28"/>
          <w:szCs w:val="28"/>
        </w:rPr>
        <w:t>-based industries to improve the state of food security at the OIC regional level.</w:t>
      </w:r>
    </w:p>
    <w:p w14:paraId="76F5B22F" w14:textId="77777777" w:rsidR="00FD361E" w:rsidRPr="00FD361E" w:rsidRDefault="00FD361E" w:rsidP="00FD361E">
      <w:pPr>
        <w:spacing w:after="0" w:line="240" w:lineRule="auto"/>
        <w:jc w:val="both"/>
        <w:rPr>
          <w:rFonts w:ascii="Times New Roman" w:hAnsi="Times New Roman" w:cs="Times New Roman"/>
          <w:sz w:val="28"/>
          <w:szCs w:val="28"/>
        </w:rPr>
      </w:pPr>
    </w:p>
    <w:p w14:paraId="4635C536" w14:textId="3B0580EB" w:rsidR="00AB395D" w:rsidRPr="00FD361E" w:rsidRDefault="00245D86" w:rsidP="00FD361E">
      <w:pPr>
        <w:spacing w:after="0" w:line="240" w:lineRule="auto"/>
        <w:jc w:val="both"/>
        <w:rPr>
          <w:rFonts w:ascii="Times New Roman" w:hAnsi="Times New Roman" w:cs="Times New Roman"/>
          <w:b/>
          <w:bCs/>
          <w:sz w:val="28"/>
          <w:szCs w:val="28"/>
        </w:rPr>
      </w:pPr>
      <w:r w:rsidRPr="00FD361E">
        <w:rPr>
          <w:rFonts w:ascii="Times New Roman" w:hAnsi="Times New Roman" w:cs="Times New Roman"/>
          <w:b/>
          <w:bCs/>
          <w:sz w:val="28"/>
          <w:szCs w:val="28"/>
        </w:rPr>
        <w:t>OIC MCs with Higher Agriculture Potential</w:t>
      </w:r>
    </w:p>
    <w:p w14:paraId="23BB5D85" w14:textId="2E679758" w:rsidR="00764977"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764977" w:rsidRPr="00FD361E">
        <w:rPr>
          <w:rFonts w:ascii="Times New Roman" w:hAnsi="Times New Roman" w:cs="Times New Roman"/>
          <w:sz w:val="28"/>
          <w:szCs w:val="28"/>
        </w:rPr>
        <w:t xml:space="preserve">. </w:t>
      </w:r>
      <w:r w:rsidR="00245D86" w:rsidRPr="00FD361E">
        <w:rPr>
          <w:rFonts w:ascii="Times New Roman" w:hAnsi="Times New Roman" w:cs="Times New Roman"/>
          <w:sz w:val="28"/>
          <w:szCs w:val="28"/>
        </w:rPr>
        <w:t>Some OIC countries, particularly the GCC member countries, have been seeking investment opportunities in the agriculture sector in some OIC least-developed agricultural-based countries. In order to promote and encourage such intra OIC investment, OIC countries with high potential in agriculture sector, particularly in terms of agricultural labor force, arable land and water resources are needed to be identified to ascertain their potential for encouraging intra-OIC investment in agriculture sector. For thi</w:t>
      </w:r>
      <w:r w:rsidR="00792316" w:rsidRPr="00FD361E">
        <w:rPr>
          <w:rFonts w:ascii="Times New Roman" w:hAnsi="Times New Roman" w:cs="Times New Roman"/>
          <w:sz w:val="28"/>
          <w:szCs w:val="28"/>
        </w:rPr>
        <w:t>s purpose, the following Figure</w:t>
      </w:r>
      <w:r w:rsidR="00245D86" w:rsidRPr="00FD361E">
        <w:rPr>
          <w:rFonts w:ascii="Times New Roman" w:hAnsi="Times New Roman" w:cs="Times New Roman"/>
          <w:sz w:val="28"/>
          <w:szCs w:val="28"/>
        </w:rPr>
        <w:t xml:space="preserve"> attempts to highlight and evaluate the OIC countries with most potential to attract intra-OIC investment into the agricultural sector.</w:t>
      </w:r>
    </w:p>
    <w:p w14:paraId="5725CA95" w14:textId="5FD99822" w:rsidR="001D6CDA" w:rsidRPr="001D6CDA" w:rsidRDefault="001D6CDA" w:rsidP="001D6CDA">
      <w:pPr>
        <w:rPr>
          <w:rFonts w:ascii="Times New Roman" w:hAnsi="Times New Roman" w:cs="Times New Roman"/>
          <w:sz w:val="28"/>
          <w:szCs w:val="28"/>
        </w:rPr>
      </w:pPr>
    </w:p>
    <w:p w14:paraId="39AE40AB" w14:textId="6CF3C4AC" w:rsidR="001D6CDA" w:rsidRPr="001D6CDA" w:rsidRDefault="001D6CDA" w:rsidP="001D6CDA">
      <w:pPr>
        <w:rPr>
          <w:rFonts w:ascii="Times New Roman" w:hAnsi="Times New Roman" w:cs="Times New Roman"/>
          <w:sz w:val="28"/>
          <w:szCs w:val="28"/>
        </w:rPr>
      </w:pPr>
    </w:p>
    <w:p w14:paraId="5ECCF18B" w14:textId="775B5375" w:rsidR="001D6CDA" w:rsidRPr="001D6CDA" w:rsidRDefault="001D6CDA" w:rsidP="001D6CDA">
      <w:pPr>
        <w:rPr>
          <w:rFonts w:ascii="Times New Roman" w:hAnsi="Times New Roman" w:cs="Times New Roman"/>
          <w:sz w:val="28"/>
          <w:szCs w:val="28"/>
        </w:rPr>
      </w:pPr>
    </w:p>
    <w:p w14:paraId="059DBA46" w14:textId="0EFFD232" w:rsidR="001D6CDA" w:rsidRPr="001D6CDA" w:rsidRDefault="001D6CDA" w:rsidP="001D6CDA">
      <w:pPr>
        <w:rPr>
          <w:rFonts w:ascii="Times New Roman" w:hAnsi="Times New Roman" w:cs="Times New Roman"/>
          <w:sz w:val="28"/>
          <w:szCs w:val="28"/>
        </w:rPr>
      </w:pPr>
    </w:p>
    <w:p w14:paraId="072F7593" w14:textId="42BE3EBA" w:rsidR="001D6CDA" w:rsidRPr="001D6CDA" w:rsidRDefault="001D6CDA" w:rsidP="001D6CDA">
      <w:pPr>
        <w:rPr>
          <w:rFonts w:ascii="Times New Roman" w:hAnsi="Times New Roman" w:cs="Times New Roman"/>
          <w:sz w:val="28"/>
          <w:szCs w:val="28"/>
        </w:rPr>
      </w:pPr>
    </w:p>
    <w:p w14:paraId="17793380" w14:textId="1FB96562" w:rsidR="001D6CDA" w:rsidRDefault="001D6CDA" w:rsidP="001D6CDA">
      <w:pPr>
        <w:rPr>
          <w:rFonts w:ascii="Times New Roman" w:hAnsi="Times New Roman" w:cs="Times New Roman"/>
          <w:sz w:val="28"/>
          <w:szCs w:val="28"/>
        </w:rPr>
      </w:pPr>
    </w:p>
    <w:p w14:paraId="267316B4" w14:textId="77777777" w:rsidR="001D6CDA" w:rsidRPr="001D6CDA" w:rsidRDefault="001D6CDA" w:rsidP="001D6CDA">
      <w:pPr>
        <w:jc w:val="center"/>
        <w:rPr>
          <w:rFonts w:ascii="Times New Roman" w:hAnsi="Times New Roman" w:cs="Times New Roman"/>
          <w:sz w:val="28"/>
          <w:szCs w:val="28"/>
        </w:rPr>
      </w:pPr>
    </w:p>
    <w:p w14:paraId="0D33E2CE" w14:textId="016EFE1B" w:rsidR="00792316" w:rsidRPr="00FD361E" w:rsidRDefault="00792316" w:rsidP="00FD361E">
      <w:pPr>
        <w:spacing w:after="0" w:line="240" w:lineRule="auto"/>
        <w:jc w:val="both"/>
        <w:rPr>
          <w:rFonts w:ascii="Times New Roman" w:hAnsi="Times New Roman" w:cs="Times New Roman"/>
          <w:sz w:val="28"/>
          <w:szCs w:val="28"/>
        </w:rPr>
      </w:pPr>
      <w:r w:rsidRPr="00FD361E">
        <w:rPr>
          <w:rFonts w:ascii="Times New Roman" w:hAnsi="Times New Roman" w:cs="Times New Roman"/>
          <w:sz w:val="28"/>
          <w:szCs w:val="28"/>
        </w:rPr>
        <w:lastRenderedPageBreak/>
        <w:t xml:space="preserve">    </w:t>
      </w:r>
      <w:r w:rsidR="00215E5F" w:rsidRPr="00FD361E">
        <w:rPr>
          <w:rFonts w:ascii="Times New Roman" w:hAnsi="Times New Roman" w:cs="Times New Roman"/>
          <w:sz w:val="28"/>
          <w:szCs w:val="28"/>
        </w:rPr>
        <w:t xml:space="preserve">  </w:t>
      </w:r>
      <w:r w:rsidRPr="00FD361E">
        <w:rPr>
          <w:rFonts w:ascii="Times New Roman" w:hAnsi="Times New Roman" w:cs="Times New Roman"/>
          <w:sz w:val="28"/>
          <w:szCs w:val="28"/>
        </w:rPr>
        <w:t xml:space="preserve"> </w:t>
      </w:r>
      <w:r w:rsidRPr="00FD361E">
        <w:rPr>
          <w:rFonts w:ascii="Times New Roman" w:hAnsi="Times New Roman" w:cs="Times New Roman"/>
          <w:noProof/>
          <w:sz w:val="28"/>
          <w:szCs w:val="28"/>
          <w:lang w:val="ru-RU"/>
        </w:rPr>
        <w:drawing>
          <wp:inline distT="0" distB="0" distL="0" distR="0" wp14:anchorId="66A548E1" wp14:editId="4486C637">
            <wp:extent cx="5138645" cy="3438525"/>
            <wp:effectExtent l="0" t="0" r="5080" b="0"/>
            <wp:docPr id="1" name="Рисунок 1" descr="C:\Users\WW\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W\Desktop\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8033" cy="3498339"/>
                    </a:xfrm>
                    <a:prstGeom prst="rect">
                      <a:avLst/>
                    </a:prstGeom>
                    <a:noFill/>
                    <a:ln>
                      <a:noFill/>
                    </a:ln>
                  </pic:spPr>
                </pic:pic>
              </a:graphicData>
            </a:graphic>
          </wp:inline>
        </w:drawing>
      </w:r>
    </w:p>
    <w:p w14:paraId="6F164701" w14:textId="77777777" w:rsidR="001D6CDA" w:rsidRDefault="001D6CDA" w:rsidP="00FD361E">
      <w:pPr>
        <w:spacing w:after="0" w:line="240" w:lineRule="auto"/>
        <w:jc w:val="both"/>
        <w:rPr>
          <w:rFonts w:ascii="Times New Roman" w:hAnsi="Times New Roman" w:cs="Times New Roman"/>
          <w:sz w:val="28"/>
          <w:szCs w:val="28"/>
        </w:rPr>
      </w:pPr>
    </w:p>
    <w:p w14:paraId="39691F2B" w14:textId="79A06E59" w:rsidR="00792316"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00AD4FA5" w:rsidRPr="00FD361E">
        <w:rPr>
          <w:rFonts w:ascii="Times New Roman" w:hAnsi="Times New Roman" w:cs="Times New Roman"/>
          <w:sz w:val="28"/>
          <w:szCs w:val="28"/>
        </w:rPr>
        <w:t>It is clear that 36 OIC countries (19 of them are least-developed countries) enjoy high potential at least in terms of one of the three-mentioned agricultural resources. These countries could in general be considered as the OIC agricultural-based member countries. This information highlights the OIC countries that could be targeted for intra-OIC investments in the agriculture sector. In the light of such information, it could be possible to suggest to which member countries intra-OIC investments should be directed and promoted</w:t>
      </w:r>
      <w:r>
        <w:rPr>
          <w:rStyle w:val="af0"/>
          <w:rFonts w:ascii="Times New Roman" w:hAnsi="Times New Roman" w:cs="Times New Roman"/>
          <w:sz w:val="28"/>
          <w:szCs w:val="28"/>
        </w:rPr>
        <w:footnoteReference w:id="1"/>
      </w:r>
      <w:r w:rsidR="00AD4FA5" w:rsidRPr="00FD361E">
        <w:rPr>
          <w:rFonts w:ascii="Times New Roman" w:hAnsi="Times New Roman" w:cs="Times New Roman"/>
          <w:sz w:val="28"/>
          <w:szCs w:val="28"/>
        </w:rPr>
        <w:t>.</w:t>
      </w:r>
    </w:p>
    <w:p w14:paraId="341167CF" w14:textId="77777777" w:rsidR="001D6CDA" w:rsidRPr="00FD361E" w:rsidRDefault="001D6CDA" w:rsidP="00FD361E">
      <w:pPr>
        <w:spacing w:after="0" w:line="240" w:lineRule="auto"/>
        <w:jc w:val="both"/>
        <w:rPr>
          <w:rFonts w:ascii="Times New Roman" w:hAnsi="Times New Roman" w:cs="Times New Roman"/>
          <w:sz w:val="28"/>
          <w:szCs w:val="28"/>
        </w:rPr>
      </w:pPr>
    </w:p>
    <w:p w14:paraId="35840E5D" w14:textId="2BA81143" w:rsidR="00AD4FA5" w:rsidRPr="00FD361E" w:rsidRDefault="00554AA0" w:rsidP="00FD361E">
      <w:pPr>
        <w:spacing w:after="0" w:line="240" w:lineRule="auto"/>
        <w:jc w:val="both"/>
        <w:rPr>
          <w:rFonts w:ascii="Times New Roman" w:hAnsi="Times New Roman" w:cs="Times New Roman"/>
          <w:b/>
          <w:bCs/>
          <w:sz w:val="28"/>
          <w:szCs w:val="28"/>
        </w:rPr>
      </w:pPr>
      <w:r w:rsidRPr="00FD361E">
        <w:rPr>
          <w:rFonts w:ascii="Times New Roman" w:hAnsi="Times New Roman" w:cs="Times New Roman"/>
          <w:b/>
          <w:bCs/>
          <w:sz w:val="28"/>
          <w:szCs w:val="28"/>
        </w:rPr>
        <w:t>Paucity of Intra-OIC and Foreign Direct Investments</w:t>
      </w:r>
    </w:p>
    <w:p w14:paraId="3EB9E490" w14:textId="2D383BE7" w:rsidR="00554AA0"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764977" w:rsidRPr="00FD361E">
        <w:rPr>
          <w:rFonts w:ascii="Times New Roman" w:hAnsi="Times New Roman" w:cs="Times New Roman"/>
          <w:sz w:val="28"/>
          <w:szCs w:val="28"/>
        </w:rPr>
        <w:t xml:space="preserve">. </w:t>
      </w:r>
      <w:r w:rsidR="00C66F92" w:rsidRPr="00FD361E">
        <w:rPr>
          <w:rFonts w:ascii="Times New Roman" w:hAnsi="Times New Roman" w:cs="Times New Roman"/>
          <w:sz w:val="28"/>
          <w:szCs w:val="28"/>
        </w:rPr>
        <w:t xml:space="preserve">The role of </w:t>
      </w:r>
      <w:r w:rsidR="00D5185B" w:rsidRPr="00FD361E">
        <w:rPr>
          <w:rFonts w:ascii="Times New Roman" w:hAnsi="Times New Roman" w:cs="Times New Roman"/>
          <w:sz w:val="28"/>
          <w:szCs w:val="28"/>
        </w:rPr>
        <w:t>FDI</w:t>
      </w:r>
      <w:r w:rsidR="00C66F92" w:rsidRPr="00FD361E">
        <w:rPr>
          <w:rFonts w:ascii="Times New Roman" w:hAnsi="Times New Roman" w:cs="Times New Roman"/>
          <w:sz w:val="28"/>
          <w:szCs w:val="28"/>
        </w:rPr>
        <w:t xml:space="preserve"> in fostering economic growth, industrialization, employment generation and wealth creation in OIC member states cannot be over-emphasized. This is given the need to complement available local resources within the OIC, which has twenty-two of its 57 member states belonging to the</w:t>
      </w:r>
      <w:r w:rsidR="00D5185B" w:rsidRPr="00FD361E">
        <w:rPr>
          <w:rFonts w:ascii="Times New Roman" w:hAnsi="Times New Roman" w:cs="Times New Roman"/>
          <w:sz w:val="28"/>
          <w:szCs w:val="28"/>
        </w:rPr>
        <w:t xml:space="preserve"> least developed c</w:t>
      </w:r>
      <w:r w:rsidR="00554AA0" w:rsidRPr="00FD361E">
        <w:rPr>
          <w:rFonts w:ascii="Times New Roman" w:hAnsi="Times New Roman" w:cs="Times New Roman"/>
          <w:sz w:val="28"/>
          <w:szCs w:val="28"/>
        </w:rPr>
        <w:t>ountries</w:t>
      </w:r>
      <w:r w:rsidR="00C66F92" w:rsidRPr="00FD361E">
        <w:rPr>
          <w:rFonts w:ascii="Times New Roman" w:hAnsi="Times New Roman" w:cs="Times New Roman"/>
          <w:sz w:val="28"/>
          <w:szCs w:val="28"/>
        </w:rPr>
        <w:t xml:space="preserve">. However, efforts must be intensified at both local, national and regional levels to attract foreign direct investments to OIC member states, which accounted for only 13.9% of the world figure in 2018. This </w:t>
      </w:r>
      <w:r w:rsidR="00554AA0" w:rsidRPr="00FD361E">
        <w:rPr>
          <w:rFonts w:ascii="Times New Roman" w:hAnsi="Times New Roman" w:cs="Times New Roman"/>
          <w:sz w:val="28"/>
          <w:szCs w:val="28"/>
        </w:rPr>
        <w:t>unfavorable</w:t>
      </w:r>
      <w:r w:rsidR="00C66F92" w:rsidRPr="00FD361E">
        <w:rPr>
          <w:rFonts w:ascii="Times New Roman" w:hAnsi="Times New Roman" w:cs="Times New Roman"/>
          <w:sz w:val="28"/>
          <w:szCs w:val="28"/>
        </w:rPr>
        <w:t xml:space="preserve"> situation is also compounded by the steady dwindling of Offic</w:t>
      </w:r>
      <w:r w:rsidR="00554AA0" w:rsidRPr="00FD361E">
        <w:rPr>
          <w:rFonts w:ascii="Times New Roman" w:hAnsi="Times New Roman" w:cs="Times New Roman"/>
          <w:sz w:val="28"/>
          <w:szCs w:val="28"/>
        </w:rPr>
        <w:t xml:space="preserve">ial Development Assistance </w:t>
      </w:r>
      <w:r w:rsidR="00C66F92" w:rsidRPr="00FD361E">
        <w:rPr>
          <w:rFonts w:ascii="Times New Roman" w:hAnsi="Times New Roman" w:cs="Times New Roman"/>
          <w:sz w:val="28"/>
          <w:szCs w:val="28"/>
        </w:rPr>
        <w:t xml:space="preserve">flows to OIC member states from developed countries. </w:t>
      </w:r>
    </w:p>
    <w:p w14:paraId="615EC8EF" w14:textId="77777777" w:rsidR="001D6CDA" w:rsidRPr="00FD361E" w:rsidRDefault="001D6CDA" w:rsidP="00FD361E">
      <w:pPr>
        <w:spacing w:after="0" w:line="240" w:lineRule="auto"/>
        <w:jc w:val="both"/>
        <w:rPr>
          <w:rFonts w:ascii="Times New Roman" w:hAnsi="Times New Roman" w:cs="Times New Roman"/>
          <w:sz w:val="28"/>
          <w:szCs w:val="28"/>
        </w:rPr>
      </w:pPr>
    </w:p>
    <w:p w14:paraId="11ECCE58" w14:textId="0A909CB1" w:rsidR="00554AA0" w:rsidRPr="00FD361E"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00C66F92" w:rsidRPr="00FD361E">
        <w:rPr>
          <w:rFonts w:ascii="Times New Roman" w:hAnsi="Times New Roman" w:cs="Times New Roman"/>
          <w:sz w:val="28"/>
          <w:szCs w:val="28"/>
        </w:rPr>
        <w:t xml:space="preserve">. </w:t>
      </w:r>
      <w:r w:rsidR="00554AA0" w:rsidRPr="00FD361E">
        <w:rPr>
          <w:rFonts w:ascii="Times New Roman" w:hAnsi="Times New Roman" w:cs="Times New Roman"/>
          <w:sz w:val="28"/>
          <w:szCs w:val="28"/>
        </w:rPr>
        <w:t xml:space="preserve">Attracting FDI to OIC member states requires the provision of enabling policy, legislative, institutional and financial environments at all levels, including local, national and regional levels.  To this end, the OIC Agreement on Promotion, Protection and Guarantee of Investment was approved in 1981 and has continued to address the various issues bearing on investment promotion and protection, in line with global standards. This includes the existing ad hoc mechanism for settlement </w:t>
      </w:r>
      <w:r w:rsidR="00554AA0" w:rsidRPr="00FD361E">
        <w:rPr>
          <w:rFonts w:ascii="Times New Roman" w:hAnsi="Times New Roman" w:cs="Times New Roman"/>
          <w:sz w:val="28"/>
          <w:szCs w:val="28"/>
        </w:rPr>
        <w:lastRenderedPageBreak/>
        <w:t xml:space="preserve">of investment disputes, which is vested in the OIC Secretary-General and the on-going efforts at establishing a permanent dispute settlement mechanism.   </w:t>
      </w:r>
    </w:p>
    <w:p w14:paraId="0659D854" w14:textId="2B47221A" w:rsidR="00746702" w:rsidRPr="001D6CDA" w:rsidRDefault="00746702" w:rsidP="00FD361E">
      <w:pPr>
        <w:spacing w:after="0" w:line="240" w:lineRule="auto"/>
        <w:jc w:val="both"/>
        <w:rPr>
          <w:rFonts w:ascii="Times New Roman" w:hAnsi="Times New Roman" w:cs="Times New Roman"/>
          <w:sz w:val="28"/>
          <w:szCs w:val="28"/>
        </w:rPr>
      </w:pPr>
      <w:r w:rsidRPr="00FD361E">
        <w:rPr>
          <w:rFonts w:ascii="Times New Roman" w:hAnsi="Times New Roman" w:cs="Times New Roman"/>
          <w:noProof/>
          <w:sz w:val="28"/>
          <w:szCs w:val="28"/>
          <w:lang w:val="ru-RU"/>
        </w:rPr>
        <w:drawing>
          <wp:inline distT="0" distB="0" distL="0" distR="0" wp14:anchorId="56465FC8" wp14:editId="75CE3C3B">
            <wp:extent cx="5502050" cy="2369118"/>
            <wp:effectExtent l="0" t="0" r="3810" b="0"/>
            <wp:docPr id="3" name="Рисунок 3" descr="12: Top OIC Countries in terms of Intra-OIC FDI Outflows (left) and Outstocks (right) (US$ Billion), 2010-201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 Top OIC Countries in terms of Intra-OIC FDI Outflows (left) and Outstocks (right) (US$ Billion), 2010-2014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2694" cy="2378007"/>
                    </a:xfrm>
                    <a:prstGeom prst="rect">
                      <a:avLst/>
                    </a:prstGeom>
                    <a:noFill/>
                    <a:ln>
                      <a:noFill/>
                    </a:ln>
                  </pic:spPr>
                </pic:pic>
              </a:graphicData>
            </a:graphic>
          </wp:inline>
        </w:drawing>
      </w:r>
      <w:r w:rsidR="001D6CDA">
        <w:rPr>
          <w:rFonts w:ascii="Times New Roman" w:hAnsi="Times New Roman" w:cs="Times New Roman"/>
          <w:sz w:val="28"/>
          <w:szCs w:val="28"/>
        </w:rPr>
        <w:t xml:space="preserve">     </w:t>
      </w:r>
      <w:r w:rsidRPr="001D6CDA">
        <w:rPr>
          <w:rFonts w:ascii="Times New Roman" w:hAnsi="Times New Roman" w:cs="Times New Roman"/>
          <w:sz w:val="28"/>
          <w:szCs w:val="28"/>
        </w:rPr>
        <w:t xml:space="preserve">Top OIC Countries in terms of Intra-OIC FDI Outflows (left) and </w:t>
      </w:r>
      <w:proofErr w:type="spellStart"/>
      <w:r w:rsidRPr="001D6CDA">
        <w:rPr>
          <w:rFonts w:ascii="Times New Roman" w:hAnsi="Times New Roman" w:cs="Times New Roman"/>
          <w:sz w:val="28"/>
          <w:szCs w:val="28"/>
        </w:rPr>
        <w:t>Outstocks</w:t>
      </w:r>
      <w:proofErr w:type="spellEnd"/>
      <w:r w:rsidRPr="001D6CDA">
        <w:rPr>
          <w:rFonts w:ascii="Times New Roman" w:hAnsi="Times New Roman" w:cs="Times New Roman"/>
          <w:sz w:val="28"/>
          <w:szCs w:val="28"/>
        </w:rPr>
        <w:t xml:space="preserve"> (right) (US$ Billion), 2010-2014</w:t>
      </w:r>
      <w:r w:rsidR="00161201">
        <w:rPr>
          <w:rStyle w:val="af0"/>
          <w:rFonts w:ascii="Times New Roman" w:hAnsi="Times New Roman" w:cs="Times New Roman"/>
          <w:sz w:val="28"/>
          <w:szCs w:val="28"/>
        </w:rPr>
        <w:footnoteReference w:id="2"/>
      </w:r>
    </w:p>
    <w:p w14:paraId="147250E6" w14:textId="77777777" w:rsidR="001D6CDA" w:rsidRPr="00FD361E" w:rsidRDefault="001D6CDA" w:rsidP="00FD361E">
      <w:pPr>
        <w:spacing w:after="0" w:line="240" w:lineRule="auto"/>
        <w:jc w:val="both"/>
        <w:rPr>
          <w:rFonts w:ascii="Times New Roman" w:hAnsi="Times New Roman" w:cs="Times New Roman"/>
          <w:i/>
          <w:iCs/>
          <w:sz w:val="28"/>
          <w:szCs w:val="28"/>
        </w:rPr>
      </w:pPr>
    </w:p>
    <w:p w14:paraId="68F4C322" w14:textId="2620D93D" w:rsidR="00746702" w:rsidRPr="00161201"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554AA0" w:rsidRPr="00FD361E">
        <w:rPr>
          <w:rFonts w:ascii="Times New Roman" w:hAnsi="Times New Roman" w:cs="Times New Roman"/>
          <w:sz w:val="28"/>
          <w:szCs w:val="28"/>
        </w:rPr>
        <w:t xml:space="preserve">. </w:t>
      </w:r>
      <w:r w:rsidR="00C66F92" w:rsidRPr="00FD361E">
        <w:rPr>
          <w:rFonts w:ascii="Times New Roman" w:hAnsi="Times New Roman" w:cs="Times New Roman"/>
          <w:sz w:val="28"/>
          <w:szCs w:val="28"/>
        </w:rPr>
        <w:t xml:space="preserve">In addition to the foregoing, the role of the Private Sector is very crucial to fostering investment and access to credits. The public-private partnership can be greatly developed, given a transparent investment climate with clear regulatory framework on the national front. The various companies offering advisory services can generate the confidence required for investment flows. </w:t>
      </w:r>
      <w:r w:rsidR="00831D61" w:rsidRPr="00FD361E">
        <w:rPr>
          <w:rFonts w:ascii="Times New Roman" w:hAnsi="Times New Roman" w:cs="Times New Roman"/>
          <w:sz w:val="28"/>
          <w:szCs w:val="28"/>
        </w:rPr>
        <w:t xml:space="preserve">The introduction </w:t>
      </w:r>
      <w:r w:rsidR="00607170" w:rsidRPr="00FD361E">
        <w:rPr>
          <w:rFonts w:ascii="Times New Roman" w:hAnsi="Times New Roman" w:cs="Times New Roman"/>
          <w:sz w:val="28"/>
          <w:szCs w:val="28"/>
        </w:rPr>
        <w:t>of S</w:t>
      </w:r>
      <w:r w:rsidR="00831D61" w:rsidRPr="00FD361E">
        <w:rPr>
          <w:rFonts w:ascii="Times New Roman" w:hAnsi="Times New Roman" w:cs="Times New Roman"/>
          <w:sz w:val="28"/>
          <w:szCs w:val="28"/>
        </w:rPr>
        <w:t xml:space="preserve">ukuk and other Sharia-compliant financial instruments would stimulate growth </w:t>
      </w:r>
      <w:r w:rsidR="00B759A2" w:rsidRPr="00FD361E">
        <w:rPr>
          <w:rFonts w:ascii="Times New Roman" w:hAnsi="Times New Roman" w:cs="Times New Roman"/>
          <w:sz w:val="28"/>
          <w:szCs w:val="28"/>
        </w:rPr>
        <w:t xml:space="preserve">in </w:t>
      </w:r>
      <w:r w:rsidR="00C66F92" w:rsidRPr="00FD361E">
        <w:rPr>
          <w:rFonts w:ascii="Times New Roman" w:hAnsi="Times New Roman" w:cs="Times New Roman"/>
          <w:sz w:val="28"/>
          <w:szCs w:val="28"/>
        </w:rPr>
        <w:t>the financial sector, even as private resources, new crowd-funding mechanism, and rural credit funds are channeled into the productive sector.</w:t>
      </w:r>
      <w:r w:rsidR="00DB33B7" w:rsidRPr="00FD361E">
        <w:rPr>
          <w:rFonts w:ascii="Times New Roman" w:hAnsi="Times New Roman" w:cs="Times New Roman"/>
          <w:sz w:val="28"/>
          <w:szCs w:val="28"/>
        </w:rPr>
        <w:t xml:space="preserve"> One of the important institutions for attracting investment to OIC member countries are state investment </w:t>
      </w:r>
      <w:r w:rsidR="000E0634" w:rsidRPr="00FD361E">
        <w:rPr>
          <w:rFonts w:ascii="Times New Roman" w:hAnsi="Times New Roman" w:cs="Times New Roman"/>
          <w:sz w:val="28"/>
          <w:szCs w:val="28"/>
        </w:rPr>
        <w:t xml:space="preserve">promotion </w:t>
      </w:r>
      <w:r w:rsidR="00DB33B7" w:rsidRPr="00FD361E">
        <w:rPr>
          <w:rFonts w:ascii="Times New Roman" w:hAnsi="Times New Roman" w:cs="Times New Roman"/>
          <w:sz w:val="28"/>
          <w:szCs w:val="28"/>
        </w:rPr>
        <w:t>agencies</w:t>
      </w:r>
      <w:r w:rsidR="000E0634" w:rsidRPr="00FD361E">
        <w:rPr>
          <w:rFonts w:ascii="Times New Roman" w:hAnsi="Times New Roman" w:cs="Times New Roman"/>
          <w:sz w:val="28"/>
          <w:szCs w:val="28"/>
        </w:rPr>
        <w:t>.</w:t>
      </w:r>
    </w:p>
    <w:p w14:paraId="5EBCE90E" w14:textId="77777777" w:rsidR="001D6CDA" w:rsidRPr="00FD361E" w:rsidRDefault="001D6CDA" w:rsidP="00FD361E">
      <w:pPr>
        <w:spacing w:after="0" w:line="240" w:lineRule="auto"/>
        <w:jc w:val="both"/>
        <w:rPr>
          <w:rFonts w:ascii="Times New Roman" w:hAnsi="Times New Roman" w:cs="Times New Roman"/>
          <w:sz w:val="28"/>
          <w:szCs w:val="28"/>
        </w:rPr>
      </w:pPr>
    </w:p>
    <w:p w14:paraId="5D3BC71B" w14:textId="7BA2A61E" w:rsidR="00481EBF" w:rsidRPr="00FD361E" w:rsidRDefault="00481EBF" w:rsidP="00FD361E">
      <w:pPr>
        <w:spacing w:after="0" w:line="240" w:lineRule="auto"/>
        <w:jc w:val="both"/>
        <w:rPr>
          <w:rFonts w:ascii="Times New Roman" w:hAnsi="Times New Roman" w:cs="Times New Roman"/>
          <w:b/>
          <w:bCs/>
          <w:color w:val="FF0000"/>
          <w:sz w:val="28"/>
          <w:szCs w:val="28"/>
        </w:rPr>
      </w:pPr>
      <w:r w:rsidRPr="00FD361E">
        <w:rPr>
          <w:rFonts w:ascii="Times New Roman" w:hAnsi="Times New Roman" w:cs="Times New Roman"/>
          <w:b/>
          <w:bCs/>
          <w:sz w:val="28"/>
          <w:szCs w:val="28"/>
        </w:rPr>
        <w:t>State investment promotion agencies and empowerment in OIC countries</w:t>
      </w:r>
    </w:p>
    <w:p w14:paraId="5CA92B10" w14:textId="6862D3F2" w:rsidR="00831D61"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00481EBF" w:rsidRPr="00FD361E">
        <w:rPr>
          <w:rFonts w:ascii="Times New Roman" w:hAnsi="Times New Roman" w:cs="Times New Roman"/>
          <w:sz w:val="28"/>
          <w:szCs w:val="28"/>
        </w:rPr>
        <w:t>. Investments crossing international state borders are essential for the advancement of economic and social integration all over the world. Investment Promotion Agencies (IPAs) play an important role in attracting these investments, as they are often the public face of governments seeking to promote economic and social development. IPAs are generally instrumental in negotiating investment treaties and concluding investment contracts. Consequently, they also manage investment relationships through after care services.</w:t>
      </w:r>
      <w:r w:rsidR="00F21BF2" w:rsidRPr="00FD361E">
        <w:rPr>
          <w:rFonts w:ascii="Times New Roman" w:hAnsi="Times New Roman" w:cs="Times New Roman"/>
          <w:sz w:val="28"/>
          <w:szCs w:val="28"/>
        </w:rPr>
        <w:t xml:space="preserve"> In recent years, The World Association of Investment Promotion Agencies (WAIPA) has witnessed an ever-growing flow of FDI from developed into developing countries, although slightly declining in the last year. </w:t>
      </w:r>
    </w:p>
    <w:p w14:paraId="3269DF21" w14:textId="77777777" w:rsidR="001D6CDA" w:rsidRPr="00FD361E" w:rsidRDefault="001D6CDA" w:rsidP="00FD361E">
      <w:pPr>
        <w:spacing w:after="0" w:line="240" w:lineRule="auto"/>
        <w:jc w:val="both"/>
        <w:rPr>
          <w:rFonts w:ascii="Times New Roman" w:hAnsi="Times New Roman" w:cs="Times New Roman"/>
          <w:sz w:val="28"/>
          <w:szCs w:val="28"/>
        </w:rPr>
      </w:pPr>
    </w:p>
    <w:p w14:paraId="03B6E9BF" w14:textId="5CC32B69" w:rsidR="00500C92"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13. </w:t>
      </w:r>
      <w:r w:rsidR="00F21BF2" w:rsidRPr="00FD361E">
        <w:rPr>
          <w:rFonts w:ascii="Times New Roman" w:hAnsi="Times New Roman" w:cs="Times New Roman"/>
          <w:sz w:val="28"/>
          <w:szCs w:val="28"/>
        </w:rPr>
        <w:t>In addition, FDI</w:t>
      </w:r>
      <w:r w:rsidR="00831D61" w:rsidRPr="00FD361E">
        <w:rPr>
          <w:rFonts w:ascii="Times New Roman" w:hAnsi="Times New Roman" w:cs="Times New Roman"/>
          <w:sz w:val="28"/>
          <w:szCs w:val="28"/>
        </w:rPr>
        <w:t xml:space="preserve"> </w:t>
      </w:r>
      <w:r w:rsidR="00F21BF2" w:rsidRPr="00FD361E">
        <w:rPr>
          <w:rFonts w:ascii="Times New Roman" w:hAnsi="Times New Roman" w:cs="Times New Roman"/>
          <w:sz w:val="28"/>
          <w:szCs w:val="28"/>
        </w:rPr>
        <w:t>from developing economies to other developing economies, the so-called South-South investments, also gained in importance, creating beneficial spillovers globally, thus contributing directly to welfare and prosperity</w:t>
      </w:r>
      <w:r w:rsidR="001637AE" w:rsidRPr="00FD361E">
        <w:rPr>
          <w:rFonts w:ascii="Times New Roman" w:hAnsi="Times New Roman" w:cs="Times New Roman"/>
          <w:sz w:val="28"/>
          <w:szCs w:val="28"/>
          <w:vertAlign w:val="superscript"/>
        </w:rPr>
        <w:t>3</w:t>
      </w:r>
      <w:r w:rsidR="00F21BF2" w:rsidRPr="00FD361E">
        <w:rPr>
          <w:rFonts w:ascii="Times New Roman" w:hAnsi="Times New Roman" w:cs="Times New Roman"/>
          <w:sz w:val="28"/>
          <w:szCs w:val="28"/>
        </w:rPr>
        <w:t>.</w:t>
      </w:r>
    </w:p>
    <w:p w14:paraId="4665507B" w14:textId="77777777" w:rsidR="00161201" w:rsidRPr="00FD361E" w:rsidRDefault="00161201" w:rsidP="00FD361E">
      <w:pPr>
        <w:spacing w:after="0" w:line="240" w:lineRule="auto"/>
        <w:jc w:val="both"/>
        <w:rPr>
          <w:rFonts w:ascii="Times New Roman" w:hAnsi="Times New Roman" w:cs="Times New Roman"/>
          <w:sz w:val="28"/>
          <w:szCs w:val="28"/>
        </w:rPr>
      </w:pPr>
    </w:p>
    <w:p w14:paraId="5C9C5377" w14:textId="48D14576" w:rsidR="00A70E0E" w:rsidRPr="00FD361E" w:rsidRDefault="00F245E1" w:rsidP="00FD361E">
      <w:pPr>
        <w:spacing w:after="0" w:line="240" w:lineRule="auto"/>
        <w:jc w:val="both"/>
        <w:rPr>
          <w:rFonts w:ascii="Times New Roman" w:hAnsi="Times New Roman" w:cs="Times New Roman"/>
          <w:sz w:val="28"/>
          <w:szCs w:val="28"/>
        </w:rPr>
      </w:pPr>
      <w:r w:rsidRPr="00FD361E">
        <w:rPr>
          <w:rFonts w:ascii="Times New Roman" w:hAnsi="Times New Roman" w:cs="Times New Roman"/>
          <w:sz w:val="28"/>
          <w:szCs w:val="28"/>
        </w:rPr>
        <w:lastRenderedPageBreak/>
        <w:t>1</w:t>
      </w:r>
      <w:r w:rsidR="001D6CDA">
        <w:rPr>
          <w:rFonts w:ascii="Times New Roman" w:hAnsi="Times New Roman" w:cs="Times New Roman"/>
          <w:sz w:val="28"/>
          <w:szCs w:val="28"/>
        </w:rPr>
        <w:t>4</w:t>
      </w:r>
      <w:r w:rsidRPr="00FD361E">
        <w:rPr>
          <w:rFonts w:ascii="Times New Roman" w:hAnsi="Times New Roman" w:cs="Times New Roman"/>
          <w:sz w:val="28"/>
          <w:szCs w:val="28"/>
        </w:rPr>
        <w:t>. A closer look at examples of IPAs from OIC countries. On the one hand, we will look at an IPA that changed both structure and name after the initial IPA was not efficient enough. In the second example, we will describe the strategy and methodology of a fully functioning IPA.</w:t>
      </w:r>
      <w:r w:rsidR="00215E5F" w:rsidRPr="00FD361E">
        <w:rPr>
          <w:rFonts w:ascii="Times New Roman" w:hAnsi="Times New Roman" w:cs="Times New Roman"/>
          <w:sz w:val="28"/>
          <w:szCs w:val="28"/>
        </w:rPr>
        <w:t xml:space="preserve"> </w:t>
      </w:r>
    </w:p>
    <w:p w14:paraId="266A3283" w14:textId="31351714" w:rsidR="001D6CDA" w:rsidRPr="00161201" w:rsidRDefault="00215E5F" w:rsidP="00161201">
      <w:pPr>
        <w:pStyle w:val="ac"/>
        <w:numPr>
          <w:ilvl w:val="0"/>
          <w:numId w:val="27"/>
        </w:numPr>
        <w:spacing w:after="0" w:line="240" w:lineRule="auto"/>
        <w:jc w:val="both"/>
        <w:rPr>
          <w:rFonts w:ascii="Times New Roman" w:hAnsi="Times New Roman" w:cs="Times New Roman"/>
          <w:sz w:val="28"/>
          <w:szCs w:val="28"/>
        </w:rPr>
      </w:pPr>
      <w:r w:rsidRPr="00FD361E">
        <w:rPr>
          <w:rFonts w:ascii="Times New Roman" w:hAnsi="Times New Roman" w:cs="Times New Roman"/>
          <w:sz w:val="28"/>
          <w:szCs w:val="28"/>
        </w:rPr>
        <w:t>Therefore, following the suggestion of the OECD, a plan was established to create a clear strategy and coordination: First, the development of a national strategy for investment attraction; second an upgrading of the status of the IPA to the national company for investments “KAZAKH INVEST”; third the preparation of investments projects in accordance with international standards; and fourth the development of industrial infrastructure that included special economic zones and industrial zones. The careful consideration of all factors resulted in assigning a powerful mandate to KAZAKH INVEST, which became the single negotiator with high rank decision authority to provide services and coordinate projects in the field of national investment promotion. KAZAKH INVEST also underwent restructuring in terms its reporting line and was place under the direct authority of the Prime Ministry of Kazakhstan</w:t>
      </w:r>
      <w:r w:rsidR="00161201">
        <w:rPr>
          <w:rStyle w:val="af0"/>
          <w:rFonts w:ascii="Times New Roman" w:hAnsi="Times New Roman" w:cs="Times New Roman"/>
          <w:sz w:val="28"/>
          <w:szCs w:val="28"/>
        </w:rPr>
        <w:footnoteReference w:id="3"/>
      </w:r>
      <w:r w:rsidRPr="00FD361E">
        <w:rPr>
          <w:rFonts w:ascii="Times New Roman" w:hAnsi="Times New Roman" w:cs="Times New Roman"/>
          <w:sz w:val="28"/>
          <w:szCs w:val="28"/>
        </w:rPr>
        <w:t xml:space="preserve">. </w:t>
      </w:r>
    </w:p>
    <w:p w14:paraId="19B231AF" w14:textId="197184B2" w:rsidR="00E449F6" w:rsidRPr="00161201" w:rsidRDefault="00A70E0E" w:rsidP="00FD361E">
      <w:pPr>
        <w:pStyle w:val="ac"/>
        <w:numPr>
          <w:ilvl w:val="0"/>
          <w:numId w:val="27"/>
        </w:numPr>
        <w:spacing w:after="0" w:line="240" w:lineRule="auto"/>
        <w:jc w:val="both"/>
        <w:rPr>
          <w:rFonts w:ascii="Times New Roman" w:hAnsi="Times New Roman" w:cs="Times New Roman"/>
          <w:sz w:val="28"/>
          <w:szCs w:val="28"/>
        </w:rPr>
      </w:pPr>
      <w:r w:rsidRPr="00FD361E">
        <w:rPr>
          <w:rFonts w:ascii="Times New Roman" w:hAnsi="Times New Roman" w:cs="Times New Roman"/>
          <w:sz w:val="28"/>
          <w:szCs w:val="28"/>
        </w:rPr>
        <w:t>An example of how a well-functioning and efficient IPA should be structured is the Investment Support and Promotion Agency of Turkey (ISPAT). ISPAT mainly built its strategy on three pillars: a) assessing Turkey’s investments needs, b) targeting sectors that will meet Turkey’s investment needs and c) promotion strategy. The vision is to be a first-class IPA as a knowledge-center on all stages of investment, a bridge between the private sector and the Turkish government, and a solution partner to investors and the leading business advisory body of Turkey. Additionally, medium and long-term strategic objectives were defined, e.g. building a positive image; becoming a reliable partner; proactive promotion of strategic priorities; proactive engagement with business expansions and retention of foreign investors in Turkey and lastly adopting an aggressive stance of policy advocacy to improve investment climate and promote FDI in Turkey</w:t>
      </w:r>
      <w:r w:rsidR="00161201">
        <w:rPr>
          <w:rStyle w:val="af0"/>
          <w:rFonts w:ascii="Times New Roman" w:hAnsi="Times New Roman" w:cs="Times New Roman"/>
          <w:sz w:val="28"/>
          <w:szCs w:val="28"/>
        </w:rPr>
        <w:footnoteReference w:id="4"/>
      </w:r>
      <w:r w:rsidRPr="00FD361E">
        <w:rPr>
          <w:rFonts w:ascii="Times New Roman" w:hAnsi="Times New Roman" w:cs="Times New Roman"/>
          <w:sz w:val="28"/>
          <w:szCs w:val="28"/>
        </w:rPr>
        <w:t>.</w:t>
      </w:r>
    </w:p>
    <w:p w14:paraId="44BB83E5" w14:textId="5FC0AFDD" w:rsidR="00831D61" w:rsidRPr="00FD361E" w:rsidRDefault="00E449F6" w:rsidP="00FD361E">
      <w:pPr>
        <w:pStyle w:val="ac"/>
        <w:numPr>
          <w:ilvl w:val="0"/>
          <w:numId w:val="27"/>
        </w:numPr>
        <w:spacing w:after="0" w:line="240" w:lineRule="auto"/>
        <w:jc w:val="both"/>
        <w:rPr>
          <w:rFonts w:ascii="Times New Roman" w:hAnsi="Times New Roman" w:cs="Times New Roman"/>
          <w:b/>
          <w:bCs/>
          <w:sz w:val="28"/>
          <w:szCs w:val="28"/>
        </w:rPr>
      </w:pPr>
      <w:r w:rsidRPr="00FD361E">
        <w:rPr>
          <w:rFonts w:ascii="Times New Roman" w:hAnsi="Times New Roman" w:cs="Times New Roman"/>
          <w:sz w:val="28"/>
          <w:szCs w:val="28"/>
        </w:rPr>
        <w:t xml:space="preserve">General Authority for Investment &amp; Free Zones (GAFI), this is IPA of </w:t>
      </w:r>
      <w:r w:rsidR="001965CB" w:rsidRPr="00FD361E">
        <w:rPr>
          <w:rFonts w:ascii="Times New Roman" w:hAnsi="Times New Roman" w:cs="Times New Roman"/>
          <w:sz w:val="28"/>
          <w:szCs w:val="28"/>
        </w:rPr>
        <w:t>Egypt.</w:t>
      </w:r>
      <w:r w:rsidRPr="00FD361E">
        <w:rPr>
          <w:rFonts w:ascii="Times New Roman" w:hAnsi="Times New Roman" w:cs="Times New Roman"/>
          <w:sz w:val="28"/>
          <w:szCs w:val="28"/>
        </w:rPr>
        <w:t xml:space="preserve"> </w:t>
      </w:r>
      <w:r w:rsidR="006F426E" w:rsidRPr="00FD361E">
        <w:rPr>
          <w:rFonts w:ascii="Times New Roman" w:hAnsi="Times New Roman" w:cs="Times New Roman"/>
          <w:sz w:val="28"/>
          <w:szCs w:val="28"/>
        </w:rPr>
        <w:t xml:space="preserve">Agriculture is the mainstay of the economy. The sector employs about 21.4% of Egypt's employees in 2018, which is the highest economic sector share in employment. A high priority is to make Egypt 75% self-sufficient in wheat within the next ten years. The 1.5 million acres project aims to increase the cultivated area. </w:t>
      </w:r>
      <w:r w:rsidR="00CD7B31" w:rsidRPr="00FD361E">
        <w:rPr>
          <w:rFonts w:ascii="Times New Roman" w:hAnsi="Times New Roman" w:cs="Times New Roman"/>
          <w:sz w:val="28"/>
          <w:szCs w:val="28"/>
        </w:rPr>
        <w:t>Important to note, I</w:t>
      </w:r>
      <w:r w:rsidR="002B283C" w:rsidRPr="00FD361E">
        <w:rPr>
          <w:rFonts w:ascii="Times New Roman" w:hAnsi="Times New Roman" w:cs="Times New Roman"/>
          <w:sz w:val="28"/>
          <w:szCs w:val="28"/>
        </w:rPr>
        <w:t xml:space="preserve">nvestors Services Center (ISC) of </w:t>
      </w:r>
      <w:r w:rsidR="00CD7B31" w:rsidRPr="00FD361E">
        <w:rPr>
          <w:rFonts w:ascii="Times New Roman" w:hAnsi="Times New Roman" w:cs="Times New Roman"/>
          <w:sz w:val="28"/>
          <w:szCs w:val="28"/>
        </w:rPr>
        <w:t>GAFI eases the way for global investors looking to harness opportunities presented by Egypt's fast-growing domestic economy and the nation's robust competitive advantages as an export hub for Europe, the Arab wor</w:t>
      </w:r>
      <w:r w:rsidR="002B283C" w:rsidRPr="00FD361E">
        <w:rPr>
          <w:rFonts w:ascii="Times New Roman" w:hAnsi="Times New Roman" w:cs="Times New Roman"/>
          <w:sz w:val="28"/>
          <w:szCs w:val="28"/>
        </w:rPr>
        <w:t>ld and Africa. It also helps FDI</w:t>
      </w:r>
      <w:r w:rsidR="00CD7B31" w:rsidRPr="00FD361E">
        <w:rPr>
          <w:rFonts w:ascii="Times New Roman" w:hAnsi="Times New Roman" w:cs="Times New Roman"/>
          <w:sz w:val="28"/>
          <w:szCs w:val="28"/>
        </w:rPr>
        <w:t xml:space="preserve"> to obtain all necessary National and Local approvals to fac</w:t>
      </w:r>
      <w:r w:rsidR="002B283C" w:rsidRPr="00FD361E">
        <w:rPr>
          <w:rFonts w:ascii="Times New Roman" w:hAnsi="Times New Roman" w:cs="Times New Roman"/>
          <w:sz w:val="28"/>
          <w:szCs w:val="28"/>
        </w:rPr>
        <w:t xml:space="preserve">ilitate a fast start-up of </w:t>
      </w:r>
      <w:r w:rsidR="00CD7B31" w:rsidRPr="00FD361E">
        <w:rPr>
          <w:rFonts w:ascii="Times New Roman" w:hAnsi="Times New Roman" w:cs="Times New Roman"/>
          <w:sz w:val="28"/>
          <w:szCs w:val="28"/>
        </w:rPr>
        <w:t xml:space="preserve">operation in Egypt. Gathering representatives from 47 ministries and government agencies authorized to provide all </w:t>
      </w:r>
      <w:r w:rsidR="00CD7B31" w:rsidRPr="00FD361E">
        <w:rPr>
          <w:rFonts w:ascii="Times New Roman" w:hAnsi="Times New Roman" w:cs="Times New Roman"/>
          <w:sz w:val="28"/>
          <w:szCs w:val="28"/>
        </w:rPr>
        <w:lastRenderedPageBreak/>
        <w:t>necessary licenses and approvals required for the establishment of businesses. In this regard, the mission of GAFI is crucial</w:t>
      </w:r>
      <w:r w:rsidR="00161201">
        <w:rPr>
          <w:rStyle w:val="af0"/>
          <w:rFonts w:ascii="Times New Roman" w:hAnsi="Times New Roman" w:cs="Times New Roman"/>
          <w:sz w:val="28"/>
          <w:szCs w:val="28"/>
        </w:rPr>
        <w:footnoteReference w:id="5"/>
      </w:r>
      <w:r w:rsidR="00CD7B31" w:rsidRPr="00FD361E">
        <w:rPr>
          <w:rFonts w:ascii="Times New Roman" w:hAnsi="Times New Roman" w:cs="Times New Roman"/>
          <w:sz w:val="28"/>
          <w:szCs w:val="28"/>
        </w:rPr>
        <w:t>.</w:t>
      </w:r>
    </w:p>
    <w:p w14:paraId="04F1DEBF" w14:textId="77777777" w:rsidR="002B283C" w:rsidRPr="00FD361E" w:rsidRDefault="002B283C" w:rsidP="00FD361E">
      <w:pPr>
        <w:spacing w:after="0" w:line="240" w:lineRule="auto"/>
        <w:jc w:val="both"/>
        <w:rPr>
          <w:rFonts w:ascii="Times New Roman" w:hAnsi="Times New Roman" w:cs="Times New Roman"/>
          <w:b/>
          <w:bCs/>
          <w:sz w:val="28"/>
          <w:szCs w:val="28"/>
        </w:rPr>
      </w:pPr>
    </w:p>
    <w:p w14:paraId="4945A7FA" w14:textId="783B9331" w:rsidR="00597FAF" w:rsidRPr="00FD361E" w:rsidRDefault="00140204" w:rsidP="00FD361E">
      <w:pPr>
        <w:spacing w:after="0" w:line="240" w:lineRule="auto"/>
        <w:jc w:val="both"/>
        <w:rPr>
          <w:rFonts w:ascii="Times New Roman" w:hAnsi="Times New Roman" w:cs="Times New Roman"/>
          <w:b/>
          <w:bCs/>
          <w:sz w:val="28"/>
          <w:szCs w:val="28"/>
        </w:rPr>
      </w:pPr>
      <w:r w:rsidRPr="00FD361E">
        <w:rPr>
          <w:rFonts w:ascii="Times New Roman" w:hAnsi="Times New Roman" w:cs="Times New Roman"/>
          <w:b/>
          <w:bCs/>
          <w:sz w:val="28"/>
          <w:szCs w:val="28"/>
        </w:rPr>
        <w:t>IOFS agricultural development and food security via i</w:t>
      </w:r>
      <w:r w:rsidR="00597FAF" w:rsidRPr="00FD361E">
        <w:rPr>
          <w:rFonts w:ascii="Times New Roman" w:hAnsi="Times New Roman" w:cs="Times New Roman"/>
          <w:b/>
          <w:bCs/>
          <w:sz w:val="28"/>
          <w:szCs w:val="28"/>
        </w:rPr>
        <w:t xml:space="preserve">nvestment promotion </w:t>
      </w:r>
    </w:p>
    <w:p w14:paraId="7A2AA248" w14:textId="171E4432" w:rsidR="00554AA0" w:rsidRDefault="00591F74" w:rsidP="00FD361E">
      <w:pPr>
        <w:spacing w:after="0" w:line="240" w:lineRule="auto"/>
        <w:jc w:val="both"/>
        <w:rPr>
          <w:rFonts w:ascii="Times New Roman" w:hAnsi="Times New Roman" w:cs="Times New Roman"/>
          <w:sz w:val="28"/>
          <w:szCs w:val="28"/>
        </w:rPr>
      </w:pPr>
      <w:r w:rsidRPr="00FD361E">
        <w:rPr>
          <w:rFonts w:ascii="Times New Roman" w:hAnsi="Times New Roman" w:cs="Times New Roman"/>
          <w:sz w:val="28"/>
          <w:szCs w:val="28"/>
        </w:rPr>
        <w:t>1</w:t>
      </w:r>
      <w:r w:rsidR="001D6CDA">
        <w:rPr>
          <w:rFonts w:ascii="Times New Roman" w:hAnsi="Times New Roman" w:cs="Times New Roman"/>
          <w:sz w:val="28"/>
          <w:szCs w:val="28"/>
        </w:rPr>
        <w:t>5</w:t>
      </w:r>
      <w:r w:rsidRPr="00FD361E">
        <w:rPr>
          <w:rFonts w:ascii="Times New Roman" w:hAnsi="Times New Roman" w:cs="Times New Roman"/>
          <w:sz w:val="28"/>
          <w:szCs w:val="28"/>
        </w:rPr>
        <w:t xml:space="preserve">. </w:t>
      </w:r>
      <w:r w:rsidR="00403CC9" w:rsidRPr="00FD361E">
        <w:rPr>
          <w:rFonts w:ascii="Times New Roman" w:hAnsi="Times New Roman" w:cs="Times New Roman"/>
          <w:sz w:val="28"/>
          <w:szCs w:val="28"/>
        </w:rPr>
        <w:t xml:space="preserve">In line with WAIPA report and its </w:t>
      </w:r>
      <w:r w:rsidR="000B03E6" w:rsidRPr="00FD361E">
        <w:rPr>
          <w:rFonts w:ascii="Times New Roman" w:hAnsi="Times New Roman" w:cs="Times New Roman"/>
          <w:sz w:val="28"/>
          <w:szCs w:val="28"/>
        </w:rPr>
        <w:t xml:space="preserve">above </w:t>
      </w:r>
      <w:r w:rsidR="00403CC9" w:rsidRPr="00FD361E">
        <w:rPr>
          <w:rFonts w:ascii="Times New Roman" w:hAnsi="Times New Roman" w:cs="Times New Roman"/>
          <w:sz w:val="28"/>
          <w:szCs w:val="28"/>
        </w:rPr>
        <w:t>suggestions regarding an important role of IPAs in attracting investment, there are needs closely to work with IOFS enabling the creation of these additional linkages as well as steering and assisting IPAs to reach their full capacity and be the global reference point for FDI.</w:t>
      </w:r>
    </w:p>
    <w:p w14:paraId="7F2AF78B" w14:textId="77777777" w:rsidR="001D6CDA" w:rsidRPr="00FD361E" w:rsidRDefault="001D6CDA" w:rsidP="00FD361E">
      <w:pPr>
        <w:spacing w:after="0" w:line="240" w:lineRule="auto"/>
        <w:jc w:val="both"/>
        <w:rPr>
          <w:rFonts w:ascii="Times New Roman" w:hAnsi="Times New Roman" w:cs="Times New Roman"/>
          <w:b/>
          <w:bCs/>
          <w:sz w:val="28"/>
          <w:szCs w:val="28"/>
        </w:rPr>
      </w:pPr>
    </w:p>
    <w:p w14:paraId="2DA02507" w14:textId="718D2D4A" w:rsidR="000B03E6" w:rsidRDefault="000B03E6" w:rsidP="00FD361E">
      <w:pPr>
        <w:spacing w:after="0" w:line="240" w:lineRule="auto"/>
        <w:jc w:val="both"/>
        <w:rPr>
          <w:rFonts w:ascii="Times New Roman" w:hAnsi="Times New Roman" w:cs="Times New Roman"/>
          <w:sz w:val="28"/>
          <w:szCs w:val="28"/>
        </w:rPr>
      </w:pPr>
      <w:r w:rsidRPr="00FD361E">
        <w:rPr>
          <w:rFonts w:ascii="Times New Roman" w:hAnsi="Times New Roman" w:cs="Times New Roman"/>
          <w:sz w:val="28"/>
          <w:szCs w:val="28"/>
        </w:rPr>
        <w:t>In this regard, on 16 September 2020, a Memorandum of Understanding was signed between IOFS and KAZAKH INVEST, where special attention was paid to the optimal use of investment operations to support sustainable agricultural development with an emphasis on the agroindustry and agricultural technologies through International Islamic Food Processing Association (IFPA). The IOFS considers Kazakhstan</w:t>
      </w:r>
      <w:r w:rsidR="00E449F6" w:rsidRPr="00FD361E">
        <w:rPr>
          <w:rFonts w:ascii="Times New Roman" w:hAnsi="Times New Roman" w:cs="Times New Roman"/>
          <w:sz w:val="28"/>
          <w:szCs w:val="28"/>
        </w:rPr>
        <w:t xml:space="preserve"> (KAZAKH INVEST)</w:t>
      </w:r>
      <w:r w:rsidR="002B283C" w:rsidRPr="00FD361E">
        <w:rPr>
          <w:rFonts w:ascii="Times New Roman" w:hAnsi="Times New Roman" w:cs="Times New Roman"/>
          <w:sz w:val="28"/>
          <w:szCs w:val="28"/>
        </w:rPr>
        <w:t xml:space="preserve">, </w:t>
      </w:r>
      <w:r w:rsidRPr="00FD361E">
        <w:rPr>
          <w:rFonts w:ascii="Times New Roman" w:hAnsi="Times New Roman" w:cs="Times New Roman"/>
          <w:sz w:val="28"/>
          <w:szCs w:val="28"/>
        </w:rPr>
        <w:t>Turkey (ISPAT)</w:t>
      </w:r>
      <w:r w:rsidR="002B283C" w:rsidRPr="00FD361E">
        <w:rPr>
          <w:rFonts w:ascii="Times New Roman" w:hAnsi="Times New Roman" w:cs="Times New Roman"/>
          <w:sz w:val="28"/>
          <w:szCs w:val="28"/>
        </w:rPr>
        <w:t xml:space="preserve"> and Egypt (GAFI) </w:t>
      </w:r>
      <w:r w:rsidRPr="00FD361E">
        <w:rPr>
          <w:rFonts w:ascii="Times New Roman" w:hAnsi="Times New Roman" w:cs="Times New Roman"/>
          <w:sz w:val="28"/>
          <w:szCs w:val="28"/>
        </w:rPr>
        <w:t>as pilot countries to promote investments and the phased implementation of the rest of the OIC member countries.</w:t>
      </w:r>
    </w:p>
    <w:p w14:paraId="500F6D2A" w14:textId="77777777" w:rsidR="001D6CDA" w:rsidRPr="00FD361E" w:rsidRDefault="001D6CDA" w:rsidP="00FD361E">
      <w:pPr>
        <w:spacing w:after="0" w:line="240" w:lineRule="auto"/>
        <w:jc w:val="both"/>
        <w:rPr>
          <w:rFonts w:ascii="Times New Roman" w:hAnsi="Times New Roman" w:cs="Times New Roman"/>
          <w:sz w:val="28"/>
          <w:szCs w:val="28"/>
        </w:rPr>
      </w:pPr>
    </w:p>
    <w:p w14:paraId="6140758C" w14:textId="4E4C9B02" w:rsidR="00203A50" w:rsidRPr="00FD361E" w:rsidRDefault="001D6CDA" w:rsidP="00FD36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16. </w:t>
      </w:r>
      <w:r w:rsidR="00666438" w:rsidRPr="00FD361E">
        <w:rPr>
          <w:rFonts w:ascii="Times New Roman" w:hAnsi="Times New Roman" w:cs="Times New Roman"/>
          <w:sz w:val="28"/>
          <w:szCs w:val="28"/>
        </w:rPr>
        <w:t xml:space="preserve">IOFS truly believes, </w:t>
      </w:r>
      <w:r w:rsidR="003E20F1" w:rsidRPr="00FD361E">
        <w:rPr>
          <w:rFonts w:ascii="Times New Roman" w:hAnsi="Times New Roman" w:cs="Times New Roman"/>
          <w:sz w:val="28"/>
          <w:szCs w:val="28"/>
        </w:rPr>
        <w:t xml:space="preserve">that agricultural development and food security in OIC countries can be improved by increasing agricultural output, particularly food products, through either increasing agricultural productivity or extension of the arable land area (i.e. bringing more land under cultivation). This, of course, necessitates the availability of appropriate investments in the agriculture sector at the national level and/or in terms of FDI. However, while investment in agriculture is a well-established economic activity in the developed countries, it is still lagging behind in many developing countries, particularly in the least-developed and low-income agricultural-based countries. </w:t>
      </w:r>
      <w:r w:rsidR="00666438" w:rsidRPr="00FD361E">
        <w:rPr>
          <w:rFonts w:ascii="Times New Roman" w:hAnsi="Times New Roman" w:cs="Times New Roman"/>
          <w:sz w:val="28"/>
          <w:szCs w:val="28"/>
        </w:rPr>
        <w:t>In this regard, t</w:t>
      </w:r>
      <w:r w:rsidR="003E20F1" w:rsidRPr="00FD361E">
        <w:rPr>
          <w:rFonts w:ascii="Times New Roman" w:hAnsi="Times New Roman" w:cs="Times New Roman"/>
          <w:sz w:val="28"/>
          <w:szCs w:val="28"/>
        </w:rPr>
        <w:t>he role of the IOFS will be to promote investment in its member countries for agricult</w:t>
      </w:r>
      <w:r w:rsidR="00666438" w:rsidRPr="00FD361E">
        <w:rPr>
          <w:rFonts w:ascii="Times New Roman" w:hAnsi="Times New Roman" w:cs="Times New Roman"/>
          <w:sz w:val="28"/>
          <w:szCs w:val="28"/>
        </w:rPr>
        <w:t>ural develo</w:t>
      </w:r>
      <w:r w:rsidR="000B03E6" w:rsidRPr="00FD361E">
        <w:rPr>
          <w:rFonts w:ascii="Times New Roman" w:hAnsi="Times New Roman" w:cs="Times New Roman"/>
          <w:sz w:val="28"/>
          <w:szCs w:val="28"/>
        </w:rPr>
        <w:t>pment projects, as well as, via</w:t>
      </w:r>
      <w:r w:rsidR="00666438" w:rsidRPr="00FD361E">
        <w:rPr>
          <w:rFonts w:ascii="Times New Roman" w:hAnsi="Times New Roman" w:cs="Times New Roman"/>
          <w:sz w:val="28"/>
          <w:szCs w:val="28"/>
        </w:rPr>
        <w:t xml:space="preserve"> its strategic program </w:t>
      </w:r>
      <w:r w:rsidR="000B03E6" w:rsidRPr="00FD361E">
        <w:rPr>
          <w:rFonts w:ascii="Times New Roman" w:hAnsi="Times New Roman" w:cs="Times New Roman"/>
          <w:sz w:val="28"/>
          <w:szCs w:val="28"/>
        </w:rPr>
        <w:t>IFPA</w:t>
      </w:r>
      <w:r w:rsidR="00943F12" w:rsidRPr="00FD361E">
        <w:rPr>
          <w:rFonts w:ascii="Times New Roman" w:hAnsi="Times New Roman" w:cs="Times New Roman"/>
          <w:sz w:val="28"/>
          <w:szCs w:val="28"/>
        </w:rPr>
        <w:t xml:space="preserve">. </w:t>
      </w:r>
    </w:p>
    <w:p w14:paraId="22CA2D75" w14:textId="22F9B2FC" w:rsidR="00764977" w:rsidRPr="00FD361E" w:rsidRDefault="002B283C" w:rsidP="00FD361E">
      <w:pPr>
        <w:pStyle w:val="ac"/>
        <w:numPr>
          <w:ilvl w:val="0"/>
          <w:numId w:val="28"/>
        </w:numPr>
        <w:spacing w:after="0" w:line="240" w:lineRule="auto"/>
        <w:jc w:val="both"/>
        <w:rPr>
          <w:rFonts w:ascii="Times New Roman" w:hAnsi="Times New Roman" w:cs="Times New Roman"/>
          <w:sz w:val="28"/>
          <w:szCs w:val="28"/>
        </w:rPr>
      </w:pPr>
      <w:r w:rsidRPr="00FD361E">
        <w:rPr>
          <w:rFonts w:ascii="Times New Roman" w:hAnsi="Times New Roman" w:cs="Times New Roman"/>
          <w:sz w:val="28"/>
          <w:szCs w:val="28"/>
        </w:rPr>
        <w:t xml:space="preserve">Main focus must be on investment support </w:t>
      </w:r>
      <w:r w:rsidR="00E30609" w:rsidRPr="00FD361E">
        <w:rPr>
          <w:rFonts w:ascii="Times New Roman" w:hAnsi="Times New Roman" w:cs="Times New Roman"/>
          <w:sz w:val="28"/>
          <w:szCs w:val="28"/>
        </w:rPr>
        <w:t xml:space="preserve">into </w:t>
      </w:r>
      <w:r w:rsidRPr="00FD361E">
        <w:rPr>
          <w:rFonts w:ascii="Times New Roman" w:hAnsi="Times New Roman" w:cs="Times New Roman"/>
          <w:sz w:val="28"/>
          <w:szCs w:val="28"/>
        </w:rPr>
        <w:t>national</w:t>
      </w:r>
      <w:r w:rsidR="00E30609" w:rsidRPr="00FD361E">
        <w:rPr>
          <w:rFonts w:ascii="Times New Roman" w:hAnsi="Times New Roman" w:cs="Times New Roman"/>
          <w:sz w:val="28"/>
          <w:szCs w:val="28"/>
        </w:rPr>
        <w:t xml:space="preserve"> food sectors and establishing food supply chains. Key projects in this regard would be in food processing with high value added and respective logistics and transportation. </w:t>
      </w:r>
    </w:p>
    <w:p w14:paraId="60543434" w14:textId="132C43BB" w:rsidR="00E30609" w:rsidRPr="00FD361E" w:rsidRDefault="002953C3" w:rsidP="00FD361E">
      <w:pPr>
        <w:pStyle w:val="ac"/>
        <w:numPr>
          <w:ilvl w:val="0"/>
          <w:numId w:val="28"/>
        </w:numPr>
        <w:spacing w:after="0" w:line="240" w:lineRule="auto"/>
        <w:jc w:val="both"/>
        <w:rPr>
          <w:rFonts w:ascii="Times New Roman" w:hAnsi="Times New Roman" w:cs="Times New Roman"/>
          <w:sz w:val="28"/>
          <w:szCs w:val="28"/>
        </w:rPr>
      </w:pPr>
      <w:r w:rsidRPr="00FD361E">
        <w:rPr>
          <w:rFonts w:ascii="Times New Roman" w:hAnsi="Times New Roman" w:cs="Times New Roman"/>
          <w:sz w:val="28"/>
          <w:szCs w:val="28"/>
        </w:rPr>
        <w:t>IOFS starts with pilot countries and then would delegate this program to IFPA because of private nature of FDI.</w:t>
      </w:r>
    </w:p>
    <w:p w14:paraId="044F9566" w14:textId="5AC85C03" w:rsidR="00591F74" w:rsidRPr="00FD361E" w:rsidRDefault="00591F74" w:rsidP="00FD361E">
      <w:pPr>
        <w:spacing w:after="0" w:line="240" w:lineRule="auto"/>
        <w:jc w:val="both"/>
        <w:rPr>
          <w:rFonts w:ascii="Times New Roman" w:hAnsi="Times New Roman" w:cs="Times New Roman"/>
          <w:sz w:val="28"/>
          <w:szCs w:val="28"/>
          <w:u w:val="single"/>
        </w:rPr>
      </w:pPr>
    </w:p>
    <w:p w14:paraId="17D85D5C" w14:textId="77777777" w:rsidR="002953C3" w:rsidRPr="00FD361E" w:rsidRDefault="002953C3" w:rsidP="00FD361E">
      <w:pPr>
        <w:spacing w:after="0" w:line="240" w:lineRule="auto"/>
        <w:jc w:val="both"/>
        <w:rPr>
          <w:rFonts w:ascii="Times New Roman" w:hAnsi="Times New Roman" w:cs="Times New Roman"/>
          <w:sz w:val="28"/>
          <w:szCs w:val="28"/>
          <w:u w:val="single"/>
        </w:rPr>
      </w:pPr>
    </w:p>
    <w:p w14:paraId="413E9E45" w14:textId="77777777" w:rsidR="00764977" w:rsidRPr="00FD361E" w:rsidRDefault="00764977" w:rsidP="00FD361E">
      <w:pPr>
        <w:spacing w:after="0" w:line="240" w:lineRule="auto"/>
        <w:jc w:val="both"/>
        <w:rPr>
          <w:rFonts w:ascii="Times New Roman" w:hAnsi="Times New Roman" w:cs="Times New Roman"/>
          <w:b/>
          <w:bCs/>
          <w:sz w:val="28"/>
          <w:szCs w:val="28"/>
        </w:rPr>
      </w:pPr>
      <w:r w:rsidRPr="00FD361E">
        <w:rPr>
          <w:rFonts w:ascii="Times New Roman" w:hAnsi="Times New Roman" w:cs="Times New Roman"/>
          <w:b/>
          <w:bCs/>
          <w:sz w:val="28"/>
          <w:szCs w:val="28"/>
        </w:rPr>
        <w:t xml:space="preserve">The Secretariat, </w:t>
      </w:r>
    </w:p>
    <w:p w14:paraId="1A4AA2D2" w14:textId="77777777" w:rsidR="00764977" w:rsidRPr="00FD361E" w:rsidRDefault="00764977" w:rsidP="00FD361E">
      <w:pPr>
        <w:spacing w:after="0" w:line="240" w:lineRule="auto"/>
        <w:jc w:val="both"/>
        <w:rPr>
          <w:rFonts w:ascii="Times New Roman" w:hAnsi="Times New Roman" w:cs="Times New Roman"/>
          <w:b/>
          <w:bCs/>
          <w:sz w:val="28"/>
          <w:szCs w:val="28"/>
        </w:rPr>
      </w:pPr>
      <w:r w:rsidRPr="00FD361E">
        <w:rPr>
          <w:rFonts w:ascii="Times New Roman" w:hAnsi="Times New Roman" w:cs="Times New Roman"/>
          <w:b/>
          <w:bCs/>
          <w:sz w:val="28"/>
          <w:szCs w:val="28"/>
        </w:rPr>
        <w:t xml:space="preserve">Islamic </w:t>
      </w:r>
      <w:proofErr w:type="spellStart"/>
      <w:r w:rsidRPr="00FD361E">
        <w:rPr>
          <w:rFonts w:ascii="Times New Roman" w:hAnsi="Times New Roman" w:cs="Times New Roman"/>
          <w:b/>
          <w:bCs/>
          <w:sz w:val="28"/>
          <w:szCs w:val="28"/>
        </w:rPr>
        <w:t>Organisation</w:t>
      </w:r>
      <w:proofErr w:type="spellEnd"/>
      <w:r w:rsidRPr="00FD361E">
        <w:rPr>
          <w:rFonts w:ascii="Times New Roman" w:hAnsi="Times New Roman" w:cs="Times New Roman"/>
          <w:b/>
          <w:bCs/>
          <w:sz w:val="28"/>
          <w:szCs w:val="28"/>
        </w:rPr>
        <w:t xml:space="preserve"> for Food Security, </w:t>
      </w:r>
    </w:p>
    <w:p w14:paraId="3C551F64" w14:textId="77777777" w:rsidR="00764977" w:rsidRPr="00FD361E" w:rsidRDefault="00764977" w:rsidP="00FD361E">
      <w:pPr>
        <w:spacing w:after="0" w:line="240" w:lineRule="auto"/>
        <w:jc w:val="both"/>
        <w:rPr>
          <w:rFonts w:ascii="Times New Roman" w:hAnsi="Times New Roman" w:cs="Times New Roman"/>
          <w:b/>
          <w:bCs/>
          <w:sz w:val="28"/>
          <w:szCs w:val="28"/>
        </w:rPr>
      </w:pPr>
      <w:r w:rsidRPr="00FD361E">
        <w:rPr>
          <w:rFonts w:ascii="Times New Roman" w:hAnsi="Times New Roman" w:cs="Times New Roman"/>
          <w:b/>
          <w:bCs/>
          <w:sz w:val="28"/>
          <w:szCs w:val="28"/>
        </w:rPr>
        <w:t>Nur-Sultan, Republic of Kazakhstan</w:t>
      </w:r>
    </w:p>
    <w:p w14:paraId="28A215A6" w14:textId="3B512656" w:rsidR="00764977" w:rsidRPr="00FD361E" w:rsidRDefault="002953C3" w:rsidP="00FD361E">
      <w:pPr>
        <w:spacing w:after="0" w:line="240" w:lineRule="auto"/>
        <w:jc w:val="both"/>
        <w:rPr>
          <w:rFonts w:ascii="Times New Roman" w:hAnsi="Times New Roman" w:cs="Times New Roman"/>
          <w:b/>
          <w:bCs/>
          <w:sz w:val="28"/>
          <w:szCs w:val="28"/>
        </w:rPr>
      </w:pPr>
      <w:r w:rsidRPr="00FD361E">
        <w:rPr>
          <w:rFonts w:ascii="Times New Roman" w:hAnsi="Times New Roman" w:cs="Times New Roman"/>
          <w:b/>
          <w:bCs/>
          <w:sz w:val="28"/>
          <w:szCs w:val="28"/>
        </w:rPr>
        <w:t>12</w:t>
      </w:r>
      <w:r w:rsidR="00764977" w:rsidRPr="00FD361E">
        <w:rPr>
          <w:rFonts w:ascii="Times New Roman" w:hAnsi="Times New Roman" w:cs="Times New Roman"/>
          <w:b/>
          <w:bCs/>
          <w:sz w:val="28"/>
          <w:szCs w:val="28"/>
        </w:rPr>
        <w:t xml:space="preserve"> October 2020</w:t>
      </w:r>
    </w:p>
    <w:p w14:paraId="499BE824" w14:textId="77777777" w:rsidR="00764977" w:rsidRPr="00FD361E" w:rsidRDefault="00764977" w:rsidP="00FD361E">
      <w:pPr>
        <w:spacing w:after="0" w:line="240" w:lineRule="auto"/>
        <w:jc w:val="both"/>
        <w:rPr>
          <w:rFonts w:ascii="Times New Roman" w:hAnsi="Times New Roman" w:cs="Times New Roman"/>
          <w:sz w:val="28"/>
          <w:szCs w:val="28"/>
        </w:rPr>
      </w:pPr>
    </w:p>
    <w:p w14:paraId="2078D08C" w14:textId="6313B13F" w:rsidR="006219BD" w:rsidRPr="00FD361E" w:rsidRDefault="006219BD" w:rsidP="00FD361E">
      <w:pPr>
        <w:spacing w:after="0" w:line="240" w:lineRule="auto"/>
        <w:jc w:val="both"/>
        <w:rPr>
          <w:rFonts w:ascii="Times New Roman" w:hAnsi="Times New Roman" w:cs="Times New Roman"/>
          <w:sz w:val="28"/>
          <w:szCs w:val="28"/>
        </w:rPr>
      </w:pPr>
    </w:p>
    <w:sectPr w:rsidR="006219BD" w:rsidRPr="00FD361E" w:rsidSect="00FD361E">
      <w:footerReference w:type="default" r:id="rId11"/>
      <w:pgSz w:w="11906" w:h="16838"/>
      <w:pgMar w:top="851" w:right="851" w:bottom="85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57A1F" w14:textId="77777777" w:rsidR="0043172C" w:rsidRDefault="0043172C">
      <w:pPr>
        <w:spacing w:after="0" w:line="240" w:lineRule="auto"/>
      </w:pPr>
      <w:r>
        <w:separator/>
      </w:r>
    </w:p>
  </w:endnote>
  <w:endnote w:type="continuationSeparator" w:id="0">
    <w:p w14:paraId="5FF38600" w14:textId="77777777" w:rsidR="0043172C" w:rsidRDefault="00431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5D" w14:textId="77777777" w:rsidR="00554D50" w:rsidRDefault="00554D5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2FA4E" w14:textId="77777777" w:rsidR="0043172C" w:rsidRDefault="0043172C">
      <w:pPr>
        <w:spacing w:after="0" w:line="240" w:lineRule="auto"/>
      </w:pPr>
      <w:r>
        <w:separator/>
      </w:r>
    </w:p>
  </w:footnote>
  <w:footnote w:type="continuationSeparator" w:id="0">
    <w:p w14:paraId="237C88E6" w14:textId="77777777" w:rsidR="0043172C" w:rsidRDefault="0043172C">
      <w:pPr>
        <w:spacing w:after="0" w:line="240" w:lineRule="auto"/>
      </w:pPr>
      <w:r>
        <w:continuationSeparator/>
      </w:r>
    </w:p>
  </w:footnote>
  <w:footnote w:id="1">
    <w:p w14:paraId="1AB646D8" w14:textId="4EBB4630" w:rsidR="001D6CDA" w:rsidRPr="001D6CDA" w:rsidRDefault="001D6CDA" w:rsidP="001D6CDA">
      <w:pPr>
        <w:spacing w:after="0" w:line="240" w:lineRule="auto"/>
        <w:jc w:val="both"/>
        <w:rPr>
          <w:rFonts w:ascii="Times New Roman" w:hAnsi="Times New Roman" w:cs="Times New Roman"/>
          <w:sz w:val="28"/>
          <w:szCs w:val="28"/>
        </w:rPr>
      </w:pPr>
      <w:r>
        <w:rPr>
          <w:rStyle w:val="af0"/>
        </w:rPr>
        <w:footnoteRef/>
      </w:r>
      <w:r>
        <w:t xml:space="preserve"> </w:t>
      </w:r>
      <w:r w:rsidRPr="00FD361E">
        <w:rPr>
          <w:rStyle w:val="ad"/>
          <w:rFonts w:ascii="Times New Roman" w:hAnsi="Times New Roman" w:cs="Times New Roman"/>
          <w:color w:val="auto"/>
          <w:sz w:val="28"/>
          <w:szCs w:val="28"/>
          <w:u w:val="none"/>
        </w:rPr>
        <w:t>SESRIC Agriculture and Food Security in OIC Member Countries, 2016, pg.82 and 83</w:t>
      </w:r>
    </w:p>
  </w:footnote>
  <w:footnote w:id="2">
    <w:p w14:paraId="62F40F18" w14:textId="7B532672" w:rsidR="00161201" w:rsidRDefault="00161201">
      <w:pPr>
        <w:pStyle w:val="ae"/>
      </w:pPr>
      <w:r>
        <w:rPr>
          <w:rStyle w:val="af0"/>
        </w:rPr>
        <w:footnoteRef/>
      </w:r>
      <w:r>
        <w:t xml:space="preserve"> </w:t>
      </w:r>
      <w:r w:rsidRPr="00FD361E">
        <w:rPr>
          <w:rStyle w:val="ad"/>
          <w:rFonts w:ascii="Times New Roman" w:hAnsi="Times New Roman" w:cs="Times New Roman"/>
          <w:color w:val="auto"/>
          <w:sz w:val="28"/>
          <w:szCs w:val="28"/>
          <w:u w:val="none"/>
        </w:rPr>
        <w:t>UNCTAD, 2017</w:t>
      </w:r>
    </w:p>
  </w:footnote>
  <w:footnote w:id="3">
    <w:p w14:paraId="1DEEE436" w14:textId="053DCE1C" w:rsidR="00161201" w:rsidRDefault="00161201">
      <w:pPr>
        <w:pStyle w:val="ae"/>
      </w:pPr>
      <w:r>
        <w:rPr>
          <w:rStyle w:val="af0"/>
        </w:rPr>
        <w:footnoteRef/>
      </w:r>
      <w:r>
        <w:t xml:space="preserve"> </w:t>
      </w:r>
      <w:r w:rsidRPr="00FD361E">
        <w:rPr>
          <w:rStyle w:val="ad"/>
          <w:rFonts w:ascii="Times New Roman" w:hAnsi="Times New Roman" w:cs="Times New Roman"/>
          <w:color w:val="auto"/>
          <w:sz w:val="28"/>
          <w:szCs w:val="28"/>
          <w:u w:val="none"/>
        </w:rPr>
        <w:t>OECD, 2017</w:t>
      </w:r>
    </w:p>
  </w:footnote>
  <w:footnote w:id="4">
    <w:p w14:paraId="2CFFB4DF" w14:textId="799EC184" w:rsidR="00161201" w:rsidRPr="00161201" w:rsidRDefault="00161201" w:rsidP="00161201">
      <w:pPr>
        <w:spacing w:after="0" w:line="240" w:lineRule="auto"/>
        <w:jc w:val="both"/>
        <w:rPr>
          <w:rFonts w:ascii="Times New Roman" w:hAnsi="Times New Roman" w:cs="Times New Roman"/>
          <w:sz w:val="28"/>
          <w:szCs w:val="28"/>
        </w:rPr>
      </w:pPr>
      <w:r>
        <w:rPr>
          <w:rStyle w:val="af0"/>
        </w:rPr>
        <w:footnoteRef/>
      </w:r>
      <w:r>
        <w:t xml:space="preserve"> </w:t>
      </w:r>
      <w:r w:rsidRPr="00FD361E">
        <w:rPr>
          <w:rStyle w:val="ad"/>
          <w:rFonts w:ascii="Times New Roman" w:hAnsi="Times New Roman" w:cs="Times New Roman"/>
          <w:color w:val="auto"/>
          <w:sz w:val="28"/>
          <w:szCs w:val="28"/>
          <w:u w:val="none"/>
        </w:rPr>
        <w:t>Joint Publication between ICIEC, SESRIC and WAIPA, pg.62, 64, 66</w:t>
      </w:r>
    </w:p>
  </w:footnote>
  <w:footnote w:id="5">
    <w:p w14:paraId="7E27A532" w14:textId="58C6B987" w:rsidR="00161201" w:rsidRDefault="00161201">
      <w:pPr>
        <w:pStyle w:val="ae"/>
      </w:pPr>
      <w:r>
        <w:rPr>
          <w:rStyle w:val="af0"/>
        </w:rPr>
        <w:footnoteRef/>
      </w:r>
      <w:r>
        <w:t xml:space="preserve"> </w:t>
      </w:r>
      <w:hyperlink r:id="rId1" w:history="1">
        <w:r w:rsidRPr="00FD361E">
          <w:rPr>
            <w:rStyle w:val="ad"/>
            <w:rFonts w:ascii="Times New Roman" w:hAnsi="Times New Roman" w:cs="Times New Roman"/>
            <w:sz w:val="28"/>
            <w:szCs w:val="28"/>
          </w:rPr>
          <w:t>https://gafi.gov.eg/English/Howcanwehelp/OneStopShop/Pages/default.aspx</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2B4"/>
    <w:multiLevelType w:val="hybridMultilevel"/>
    <w:tmpl w:val="F5CAEE5A"/>
    <w:lvl w:ilvl="0" w:tplc="1FDC9B36">
      <w:start w:val="1"/>
      <w:numFmt w:val="decimal"/>
      <w:lvlText w:val="%1."/>
      <w:lvlJc w:val="left"/>
      <w:pPr>
        <w:ind w:left="1080" w:hanging="360"/>
      </w:pPr>
      <w:rPr>
        <w:rFonts w:hint="default"/>
        <w:color w:val="0000FF" w:themeColor="hyperlink"/>
        <w:sz w:val="20"/>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F450A6"/>
    <w:multiLevelType w:val="hybridMultilevel"/>
    <w:tmpl w:val="8D346754"/>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C05859"/>
    <w:multiLevelType w:val="multilevel"/>
    <w:tmpl w:val="1FC2A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54D7C4B"/>
    <w:multiLevelType w:val="hybridMultilevel"/>
    <w:tmpl w:val="2F042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EF0715"/>
    <w:multiLevelType w:val="hybridMultilevel"/>
    <w:tmpl w:val="E3AA7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1732B8"/>
    <w:multiLevelType w:val="hybridMultilevel"/>
    <w:tmpl w:val="EBE2B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B6DB5"/>
    <w:multiLevelType w:val="hybridMultilevel"/>
    <w:tmpl w:val="1AB4E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8E67EB"/>
    <w:multiLevelType w:val="hybridMultilevel"/>
    <w:tmpl w:val="C8D08AF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82A2903"/>
    <w:multiLevelType w:val="multilevel"/>
    <w:tmpl w:val="05665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CE310C"/>
    <w:multiLevelType w:val="hybridMultilevel"/>
    <w:tmpl w:val="407AF3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EB0D6C"/>
    <w:multiLevelType w:val="hybridMultilevel"/>
    <w:tmpl w:val="2D9C2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6855D3"/>
    <w:multiLevelType w:val="multilevel"/>
    <w:tmpl w:val="AFB093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7D575F"/>
    <w:multiLevelType w:val="hybridMultilevel"/>
    <w:tmpl w:val="48984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5A71BA"/>
    <w:multiLevelType w:val="hybridMultilevel"/>
    <w:tmpl w:val="811CA8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4896BDE"/>
    <w:multiLevelType w:val="hybridMultilevel"/>
    <w:tmpl w:val="BB6A8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15FFB"/>
    <w:multiLevelType w:val="hybridMultilevel"/>
    <w:tmpl w:val="00200598"/>
    <w:lvl w:ilvl="0" w:tplc="F588EC18">
      <w:start w:val="1"/>
      <w:numFmt w:val="decimal"/>
      <w:lvlText w:val="%1"/>
      <w:lvlJc w:val="left"/>
      <w:pPr>
        <w:ind w:left="720" w:hanging="360"/>
      </w:pPr>
      <w:rPr>
        <w:rFonts w:hint="default"/>
        <w:color w:val="0000FF" w:themeColor="hyperlink"/>
        <w:sz w:val="2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CF3595"/>
    <w:multiLevelType w:val="hybridMultilevel"/>
    <w:tmpl w:val="A2EA7E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DE686E"/>
    <w:multiLevelType w:val="hybridMultilevel"/>
    <w:tmpl w:val="19423CA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7FB04F4"/>
    <w:multiLevelType w:val="hybridMultilevel"/>
    <w:tmpl w:val="611E2C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8101AE3"/>
    <w:multiLevelType w:val="hybridMultilevel"/>
    <w:tmpl w:val="B1A80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F7D66"/>
    <w:multiLevelType w:val="hybridMultilevel"/>
    <w:tmpl w:val="2CF87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977625C"/>
    <w:multiLevelType w:val="hybridMultilevel"/>
    <w:tmpl w:val="3A448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EF6C33"/>
    <w:multiLevelType w:val="hybridMultilevel"/>
    <w:tmpl w:val="582E6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3C67B72"/>
    <w:multiLevelType w:val="hybridMultilevel"/>
    <w:tmpl w:val="F5BE3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6C008B"/>
    <w:multiLevelType w:val="hybridMultilevel"/>
    <w:tmpl w:val="04A0D6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69B46DC8"/>
    <w:multiLevelType w:val="hybridMultilevel"/>
    <w:tmpl w:val="A34E5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18705CA"/>
    <w:multiLevelType w:val="hybridMultilevel"/>
    <w:tmpl w:val="77CC5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AE7F7B"/>
    <w:multiLevelType w:val="hybridMultilevel"/>
    <w:tmpl w:val="C8620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CC3109E"/>
    <w:multiLevelType w:val="hybridMultilevel"/>
    <w:tmpl w:val="4F46B2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
  </w:num>
  <w:num w:numId="3">
    <w:abstractNumId w:val="20"/>
  </w:num>
  <w:num w:numId="4">
    <w:abstractNumId w:val="8"/>
  </w:num>
  <w:num w:numId="5">
    <w:abstractNumId w:val="19"/>
  </w:num>
  <w:num w:numId="6">
    <w:abstractNumId w:val="26"/>
  </w:num>
  <w:num w:numId="7">
    <w:abstractNumId w:val="12"/>
  </w:num>
  <w:num w:numId="8">
    <w:abstractNumId w:val="14"/>
  </w:num>
  <w:num w:numId="9">
    <w:abstractNumId w:val="18"/>
  </w:num>
  <w:num w:numId="10">
    <w:abstractNumId w:val="7"/>
  </w:num>
  <w:num w:numId="11">
    <w:abstractNumId w:val="0"/>
  </w:num>
  <w:num w:numId="12">
    <w:abstractNumId w:val="15"/>
  </w:num>
  <w:num w:numId="13">
    <w:abstractNumId w:val="17"/>
  </w:num>
  <w:num w:numId="14">
    <w:abstractNumId w:val="10"/>
  </w:num>
  <w:num w:numId="15">
    <w:abstractNumId w:val="25"/>
  </w:num>
  <w:num w:numId="16">
    <w:abstractNumId w:val="22"/>
  </w:num>
  <w:num w:numId="17">
    <w:abstractNumId w:val="16"/>
  </w:num>
  <w:num w:numId="18">
    <w:abstractNumId w:val="1"/>
  </w:num>
  <w:num w:numId="19">
    <w:abstractNumId w:val="13"/>
  </w:num>
  <w:num w:numId="20">
    <w:abstractNumId w:val="3"/>
  </w:num>
  <w:num w:numId="21">
    <w:abstractNumId w:val="23"/>
  </w:num>
  <w:num w:numId="22">
    <w:abstractNumId w:val="24"/>
  </w:num>
  <w:num w:numId="23">
    <w:abstractNumId w:val="21"/>
  </w:num>
  <w:num w:numId="24">
    <w:abstractNumId w:val="27"/>
  </w:num>
  <w:num w:numId="25">
    <w:abstractNumId w:val="5"/>
  </w:num>
  <w:num w:numId="26">
    <w:abstractNumId w:val="28"/>
  </w:num>
  <w:num w:numId="27">
    <w:abstractNumId w:val="6"/>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DQ2MDI1sLQwNDNU0lEKTi0uzszPAykwrgUAKtB9wCwAAAA="/>
  </w:docVars>
  <w:rsids>
    <w:rsidRoot w:val="00554D50"/>
    <w:rsid w:val="000357E8"/>
    <w:rsid w:val="00036350"/>
    <w:rsid w:val="00041D15"/>
    <w:rsid w:val="00043F72"/>
    <w:rsid w:val="00053885"/>
    <w:rsid w:val="00067DE9"/>
    <w:rsid w:val="00070539"/>
    <w:rsid w:val="00077BD3"/>
    <w:rsid w:val="000816C5"/>
    <w:rsid w:val="00090E97"/>
    <w:rsid w:val="00097205"/>
    <w:rsid w:val="000A0147"/>
    <w:rsid w:val="000A7873"/>
    <w:rsid w:val="000B03E6"/>
    <w:rsid w:val="000C1C1F"/>
    <w:rsid w:val="000C1C98"/>
    <w:rsid w:val="000D337F"/>
    <w:rsid w:val="000E0634"/>
    <w:rsid w:val="000E5B9E"/>
    <w:rsid w:val="000F5360"/>
    <w:rsid w:val="00110955"/>
    <w:rsid w:val="00121863"/>
    <w:rsid w:val="001355E9"/>
    <w:rsid w:val="00140204"/>
    <w:rsid w:val="00147A6C"/>
    <w:rsid w:val="00154808"/>
    <w:rsid w:val="00154926"/>
    <w:rsid w:val="00161201"/>
    <w:rsid w:val="001637AE"/>
    <w:rsid w:val="00186464"/>
    <w:rsid w:val="00186BCC"/>
    <w:rsid w:val="001924CF"/>
    <w:rsid w:val="001965CB"/>
    <w:rsid w:val="001B652B"/>
    <w:rsid w:val="001C45F9"/>
    <w:rsid w:val="001D4011"/>
    <w:rsid w:val="001D6CDA"/>
    <w:rsid w:val="001E119D"/>
    <w:rsid w:val="001F0932"/>
    <w:rsid w:val="001F1781"/>
    <w:rsid w:val="00203A50"/>
    <w:rsid w:val="002123D1"/>
    <w:rsid w:val="00215E5F"/>
    <w:rsid w:val="00217D1E"/>
    <w:rsid w:val="00245D86"/>
    <w:rsid w:val="0027779A"/>
    <w:rsid w:val="002953C3"/>
    <w:rsid w:val="002B0DAA"/>
    <w:rsid w:val="002B283C"/>
    <w:rsid w:val="002B3115"/>
    <w:rsid w:val="002C4F31"/>
    <w:rsid w:val="002D7E86"/>
    <w:rsid w:val="002F0293"/>
    <w:rsid w:val="002F5F7B"/>
    <w:rsid w:val="00310CA1"/>
    <w:rsid w:val="00311ABC"/>
    <w:rsid w:val="00315F28"/>
    <w:rsid w:val="00316256"/>
    <w:rsid w:val="00326F6C"/>
    <w:rsid w:val="00331488"/>
    <w:rsid w:val="003617F3"/>
    <w:rsid w:val="003B2384"/>
    <w:rsid w:val="003C410A"/>
    <w:rsid w:val="003D6390"/>
    <w:rsid w:val="003E20F1"/>
    <w:rsid w:val="00403CC9"/>
    <w:rsid w:val="0040444C"/>
    <w:rsid w:val="0043172C"/>
    <w:rsid w:val="00471F6F"/>
    <w:rsid w:val="00474116"/>
    <w:rsid w:val="00481EBF"/>
    <w:rsid w:val="004822D7"/>
    <w:rsid w:val="004A5096"/>
    <w:rsid w:val="004A6A42"/>
    <w:rsid w:val="004B4896"/>
    <w:rsid w:val="004C3C68"/>
    <w:rsid w:val="004C7BD3"/>
    <w:rsid w:val="004D53D9"/>
    <w:rsid w:val="004E6632"/>
    <w:rsid w:val="004F46A6"/>
    <w:rsid w:val="00500C92"/>
    <w:rsid w:val="0052724E"/>
    <w:rsid w:val="005329E4"/>
    <w:rsid w:val="00545D4F"/>
    <w:rsid w:val="00554AA0"/>
    <w:rsid w:val="00554D50"/>
    <w:rsid w:val="005653A1"/>
    <w:rsid w:val="0058110C"/>
    <w:rsid w:val="00584332"/>
    <w:rsid w:val="00591F74"/>
    <w:rsid w:val="005923C2"/>
    <w:rsid w:val="00596B7F"/>
    <w:rsid w:val="00597FAF"/>
    <w:rsid w:val="005A313A"/>
    <w:rsid w:val="005A61D8"/>
    <w:rsid w:val="005B2C30"/>
    <w:rsid w:val="005B42A9"/>
    <w:rsid w:val="005C5035"/>
    <w:rsid w:val="005D27B5"/>
    <w:rsid w:val="005E2009"/>
    <w:rsid w:val="00607170"/>
    <w:rsid w:val="00611AF4"/>
    <w:rsid w:val="00615C67"/>
    <w:rsid w:val="006219BD"/>
    <w:rsid w:val="00655901"/>
    <w:rsid w:val="00666438"/>
    <w:rsid w:val="00682D70"/>
    <w:rsid w:val="006E06D2"/>
    <w:rsid w:val="006F1FE4"/>
    <w:rsid w:val="006F426E"/>
    <w:rsid w:val="006F4D9B"/>
    <w:rsid w:val="00746702"/>
    <w:rsid w:val="00746A0F"/>
    <w:rsid w:val="0076376A"/>
    <w:rsid w:val="00764977"/>
    <w:rsid w:val="00792316"/>
    <w:rsid w:val="0079717F"/>
    <w:rsid w:val="007A6BB9"/>
    <w:rsid w:val="007B7A2E"/>
    <w:rsid w:val="00820E26"/>
    <w:rsid w:val="008317F7"/>
    <w:rsid w:val="00831D61"/>
    <w:rsid w:val="00834F82"/>
    <w:rsid w:val="00872051"/>
    <w:rsid w:val="00873117"/>
    <w:rsid w:val="00883D20"/>
    <w:rsid w:val="00885E70"/>
    <w:rsid w:val="008872BF"/>
    <w:rsid w:val="00891200"/>
    <w:rsid w:val="00891DF9"/>
    <w:rsid w:val="008B08F8"/>
    <w:rsid w:val="008E41A6"/>
    <w:rsid w:val="008E5EE5"/>
    <w:rsid w:val="008F19B2"/>
    <w:rsid w:val="008F2C88"/>
    <w:rsid w:val="00912AEC"/>
    <w:rsid w:val="00924024"/>
    <w:rsid w:val="00932425"/>
    <w:rsid w:val="00943F12"/>
    <w:rsid w:val="00947018"/>
    <w:rsid w:val="00960F79"/>
    <w:rsid w:val="009664B4"/>
    <w:rsid w:val="00967F6F"/>
    <w:rsid w:val="009730B0"/>
    <w:rsid w:val="00981F63"/>
    <w:rsid w:val="009872A7"/>
    <w:rsid w:val="00991C60"/>
    <w:rsid w:val="009B4E37"/>
    <w:rsid w:val="009E6239"/>
    <w:rsid w:val="009E6E98"/>
    <w:rsid w:val="009F78CF"/>
    <w:rsid w:val="00A1659C"/>
    <w:rsid w:val="00A410D4"/>
    <w:rsid w:val="00A70E0E"/>
    <w:rsid w:val="00A8032C"/>
    <w:rsid w:val="00AB015B"/>
    <w:rsid w:val="00AB02BE"/>
    <w:rsid w:val="00AB0C0C"/>
    <w:rsid w:val="00AB395D"/>
    <w:rsid w:val="00AB3E07"/>
    <w:rsid w:val="00AC2FCA"/>
    <w:rsid w:val="00AC399F"/>
    <w:rsid w:val="00AD4FA5"/>
    <w:rsid w:val="00AE1DD9"/>
    <w:rsid w:val="00B22092"/>
    <w:rsid w:val="00B46458"/>
    <w:rsid w:val="00B531A3"/>
    <w:rsid w:val="00B70AE1"/>
    <w:rsid w:val="00B759A2"/>
    <w:rsid w:val="00BE1950"/>
    <w:rsid w:val="00C119B6"/>
    <w:rsid w:val="00C17CAD"/>
    <w:rsid w:val="00C44604"/>
    <w:rsid w:val="00C66F92"/>
    <w:rsid w:val="00C7399C"/>
    <w:rsid w:val="00C73D35"/>
    <w:rsid w:val="00C75B80"/>
    <w:rsid w:val="00C81A68"/>
    <w:rsid w:val="00CA47E4"/>
    <w:rsid w:val="00CC5D8C"/>
    <w:rsid w:val="00CD3715"/>
    <w:rsid w:val="00CD3E50"/>
    <w:rsid w:val="00CD7B31"/>
    <w:rsid w:val="00CE4B74"/>
    <w:rsid w:val="00CE6762"/>
    <w:rsid w:val="00CF03EE"/>
    <w:rsid w:val="00D0004C"/>
    <w:rsid w:val="00D424F6"/>
    <w:rsid w:val="00D5185B"/>
    <w:rsid w:val="00D7275B"/>
    <w:rsid w:val="00D910A9"/>
    <w:rsid w:val="00D93B75"/>
    <w:rsid w:val="00DB33B7"/>
    <w:rsid w:val="00DC0678"/>
    <w:rsid w:val="00DC19D7"/>
    <w:rsid w:val="00DE0BB7"/>
    <w:rsid w:val="00DE3B6B"/>
    <w:rsid w:val="00DF0248"/>
    <w:rsid w:val="00E2145B"/>
    <w:rsid w:val="00E30609"/>
    <w:rsid w:val="00E449F6"/>
    <w:rsid w:val="00E47038"/>
    <w:rsid w:val="00E75887"/>
    <w:rsid w:val="00E7730E"/>
    <w:rsid w:val="00E8231C"/>
    <w:rsid w:val="00E87C2B"/>
    <w:rsid w:val="00E95BEC"/>
    <w:rsid w:val="00F044CB"/>
    <w:rsid w:val="00F059E9"/>
    <w:rsid w:val="00F132C1"/>
    <w:rsid w:val="00F21BF2"/>
    <w:rsid w:val="00F245E1"/>
    <w:rsid w:val="00F51914"/>
    <w:rsid w:val="00F76F31"/>
    <w:rsid w:val="00FD361E"/>
    <w:rsid w:val="00FE65E7"/>
    <w:rsid w:val="00FF0E3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4CA15"/>
  <w15:docId w15:val="{00752D6B-1353-4E9E-BBCD-F57E24E8C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8872B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872BF"/>
  </w:style>
  <w:style w:type="paragraph" w:styleId="a7">
    <w:name w:val="footer"/>
    <w:basedOn w:val="a"/>
    <w:link w:val="a8"/>
    <w:uiPriority w:val="99"/>
    <w:unhideWhenUsed/>
    <w:rsid w:val="008872B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872BF"/>
  </w:style>
  <w:style w:type="table" w:styleId="a9">
    <w:name w:val="Table Grid"/>
    <w:basedOn w:val="a1"/>
    <w:uiPriority w:val="39"/>
    <w:rsid w:val="005D27B5"/>
    <w:pPr>
      <w:spacing w:after="0" w:line="240" w:lineRule="auto"/>
    </w:pPr>
    <w:rPr>
      <w:rFonts w:asciiTheme="minorHAnsi" w:eastAsiaTheme="minorHAnsi" w:hAnsiTheme="minorHAnsi" w:cstheme="minorBidi"/>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7730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7730E"/>
    <w:rPr>
      <w:rFonts w:ascii="Segoe UI" w:hAnsi="Segoe UI" w:cs="Segoe UI"/>
      <w:sz w:val="18"/>
      <w:szCs w:val="18"/>
    </w:rPr>
  </w:style>
  <w:style w:type="paragraph" w:styleId="ac">
    <w:name w:val="List Paragraph"/>
    <w:basedOn w:val="a"/>
    <w:uiPriority w:val="34"/>
    <w:qFormat/>
    <w:rsid w:val="00186464"/>
    <w:pPr>
      <w:ind w:left="720"/>
      <w:contextualSpacing/>
    </w:pPr>
  </w:style>
  <w:style w:type="character" w:styleId="ad">
    <w:name w:val="Hyperlink"/>
    <w:basedOn w:val="a0"/>
    <w:uiPriority w:val="99"/>
    <w:unhideWhenUsed/>
    <w:rsid w:val="001F1781"/>
    <w:rPr>
      <w:color w:val="0000FF" w:themeColor="hyperlink"/>
      <w:u w:val="single"/>
    </w:rPr>
  </w:style>
  <w:style w:type="paragraph" w:customStyle="1" w:styleId="Default">
    <w:name w:val="Default"/>
    <w:rsid w:val="005C5035"/>
    <w:pPr>
      <w:autoSpaceDE w:val="0"/>
      <w:autoSpaceDN w:val="0"/>
      <w:adjustRightInd w:val="0"/>
      <w:spacing w:after="0" w:line="240" w:lineRule="auto"/>
    </w:pPr>
    <w:rPr>
      <w:rFonts w:ascii="Arial" w:hAnsi="Arial" w:cs="Arial"/>
      <w:color w:val="000000"/>
      <w:sz w:val="24"/>
      <w:szCs w:val="24"/>
    </w:rPr>
  </w:style>
  <w:style w:type="paragraph" w:styleId="ae">
    <w:name w:val="footnote text"/>
    <w:basedOn w:val="a"/>
    <w:link w:val="af"/>
    <w:uiPriority w:val="99"/>
    <w:semiHidden/>
    <w:unhideWhenUsed/>
    <w:rsid w:val="00FD361E"/>
    <w:pPr>
      <w:spacing w:after="0" w:line="240" w:lineRule="auto"/>
    </w:pPr>
    <w:rPr>
      <w:sz w:val="20"/>
      <w:szCs w:val="20"/>
    </w:rPr>
  </w:style>
  <w:style w:type="character" w:customStyle="1" w:styleId="af">
    <w:name w:val="Текст сноски Знак"/>
    <w:basedOn w:val="a0"/>
    <w:link w:val="ae"/>
    <w:uiPriority w:val="99"/>
    <w:semiHidden/>
    <w:rsid w:val="00FD361E"/>
    <w:rPr>
      <w:sz w:val="20"/>
      <w:szCs w:val="20"/>
    </w:rPr>
  </w:style>
  <w:style w:type="character" w:styleId="af0">
    <w:name w:val="footnote reference"/>
    <w:basedOn w:val="a0"/>
    <w:uiPriority w:val="99"/>
    <w:semiHidden/>
    <w:unhideWhenUsed/>
    <w:rsid w:val="00FD36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gafi.gov.eg/English/Howcanwehelp/OneStopShop/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B919A-B2BA-49E7-AE3B-69C431F51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2075</Words>
  <Characters>11830</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2020-11-06T06:41:00Z</dcterms:created>
  <dcterms:modified xsi:type="dcterms:W3CDTF">2020-11-06T08:50:00Z</dcterms:modified>
</cp:coreProperties>
</file>